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6B5F" w14:textId="4C5BFED6" w:rsidR="00696FDF" w:rsidRPr="003D0668" w:rsidRDefault="00C211E6">
      <w:pPr>
        <w:rPr>
          <w:lang w:val="en-US"/>
        </w:rPr>
      </w:pPr>
      <w:r w:rsidRPr="003D0668">
        <w:rPr>
          <w:lang w:val="en-US"/>
        </w:rPr>
        <w:t>Supplementary table 02</w:t>
      </w:r>
    </w:p>
    <w:p w14:paraId="004C2898" w14:textId="086BD8FD" w:rsidR="003D0668" w:rsidRPr="003D0668" w:rsidRDefault="003D0668" w:rsidP="003D0668">
      <w:p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Evaluation of clinical trials and the status on the primary and secondary endpoints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3037"/>
        <w:gridCol w:w="6930"/>
        <w:gridCol w:w="1530"/>
      </w:tblGrid>
      <w:tr w:rsidR="00EE75A6" w:rsidRPr="00E1479C" w14:paraId="1FFFA7CE" w14:textId="77777777" w:rsidTr="005B7FF3">
        <w:tc>
          <w:tcPr>
            <w:tcW w:w="2358" w:type="dxa"/>
          </w:tcPr>
          <w:p w14:paraId="637DC912" w14:textId="5A0ABE38" w:rsidR="00EE75A6" w:rsidRPr="00E1479C" w:rsidRDefault="00EE75A6">
            <w:pPr>
              <w:rPr>
                <w:rFonts w:ascii="Times New Roman" w:hAnsi="Times New Roman" w:cs="Times New Roman"/>
                <w:lang w:val="en-US"/>
              </w:rPr>
            </w:pPr>
            <w:r w:rsidRPr="00E1479C">
              <w:rPr>
                <w:rFonts w:ascii="Times New Roman" w:hAnsi="Times New Roman" w:cs="Times New Roman"/>
                <w:lang w:val="en-US"/>
              </w:rPr>
              <w:t>Study ID</w:t>
            </w:r>
          </w:p>
        </w:tc>
        <w:tc>
          <w:tcPr>
            <w:tcW w:w="3037" w:type="dxa"/>
          </w:tcPr>
          <w:p w14:paraId="6B97A814" w14:textId="0FBC3ADD" w:rsidR="00EE75A6" w:rsidRPr="00E1479C" w:rsidRDefault="00EE75A6">
            <w:pPr>
              <w:rPr>
                <w:rFonts w:ascii="Times New Roman" w:hAnsi="Times New Roman" w:cs="Times New Roman"/>
                <w:lang w:val="en-US"/>
              </w:rPr>
            </w:pPr>
            <w:r w:rsidRPr="00E1479C">
              <w:rPr>
                <w:rFonts w:ascii="Times New Roman" w:hAnsi="Times New Roman" w:cs="Times New Roman"/>
                <w:lang w:val="en-US"/>
              </w:rPr>
              <w:t xml:space="preserve">Primary </w:t>
            </w:r>
            <w:r w:rsidR="00B36E70" w:rsidRPr="00E1479C">
              <w:rPr>
                <w:rFonts w:ascii="Times New Roman" w:hAnsi="Times New Roman" w:cs="Times New Roman"/>
                <w:lang w:val="en-US"/>
              </w:rPr>
              <w:t>objective</w:t>
            </w:r>
          </w:p>
        </w:tc>
        <w:tc>
          <w:tcPr>
            <w:tcW w:w="6930" w:type="dxa"/>
          </w:tcPr>
          <w:p w14:paraId="341800BA" w14:textId="5FF29654" w:rsidR="00EE75A6" w:rsidRPr="00E1479C" w:rsidRDefault="00EE75A6">
            <w:pPr>
              <w:rPr>
                <w:rFonts w:ascii="Times New Roman" w:hAnsi="Times New Roman" w:cs="Times New Roman"/>
                <w:lang w:val="en-US"/>
              </w:rPr>
            </w:pPr>
            <w:r w:rsidRPr="00E1479C">
              <w:rPr>
                <w:rFonts w:ascii="Times New Roman" w:hAnsi="Times New Roman" w:cs="Times New Roman"/>
                <w:lang w:val="en-US"/>
              </w:rPr>
              <w:t>Achieved</w:t>
            </w:r>
            <w:r w:rsidR="00B36E70" w:rsidRPr="00E1479C">
              <w:rPr>
                <w:rFonts w:ascii="Times New Roman" w:hAnsi="Times New Roman" w:cs="Times New Roman"/>
                <w:lang w:val="en-US"/>
              </w:rPr>
              <w:t xml:space="preserve"> results</w:t>
            </w:r>
          </w:p>
        </w:tc>
        <w:tc>
          <w:tcPr>
            <w:tcW w:w="1530" w:type="dxa"/>
          </w:tcPr>
          <w:p w14:paraId="17E0A3FC" w14:textId="6C0BD968" w:rsidR="00EE75A6" w:rsidRPr="00E1479C" w:rsidRDefault="00EE75A6">
            <w:pPr>
              <w:rPr>
                <w:rFonts w:ascii="Times New Roman" w:hAnsi="Times New Roman" w:cs="Times New Roman"/>
                <w:lang w:val="en-US"/>
              </w:rPr>
            </w:pPr>
            <w:r w:rsidRPr="00E1479C">
              <w:rPr>
                <w:rFonts w:ascii="Times New Roman" w:hAnsi="Times New Roman" w:cs="Times New Roman"/>
                <w:lang w:val="en-US"/>
              </w:rPr>
              <w:t>References</w:t>
            </w:r>
          </w:p>
        </w:tc>
      </w:tr>
      <w:tr w:rsidR="00EE75A6" w:rsidRPr="00E1479C" w14:paraId="15CBA733" w14:textId="77777777" w:rsidTr="005B7FF3">
        <w:tc>
          <w:tcPr>
            <w:tcW w:w="2358" w:type="dxa"/>
          </w:tcPr>
          <w:p w14:paraId="2DD55896" w14:textId="41A3FA61" w:rsidR="00EE75A6" w:rsidRPr="00E1479C" w:rsidRDefault="0005471C">
            <w:pPr>
              <w:rPr>
                <w:rFonts w:ascii="Times New Roman" w:hAnsi="Times New Roman" w:cs="Times New Roman"/>
                <w:lang w:val="en-US"/>
              </w:rPr>
            </w:pPr>
            <w:r w:rsidRPr="00E1479C">
              <w:rPr>
                <w:rFonts w:ascii="Times New Roman" w:hAnsi="Times New Roman" w:cs="Times New Roman"/>
                <w:lang w:val="en-US"/>
              </w:rPr>
              <w:t>NCT01759823</w:t>
            </w:r>
          </w:p>
        </w:tc>
        <w:tc>
          <w:tcPr>
            <w:tcW w:w="3037" w:type="dxa"/>
          </w:tcPr>
          <w:p w14:paraId="6CB448A8" w14:textId="34FB3A4D" w:rsidR="00EE75A6" w:rsidRPr="00E1479C" w:rsidRDefault="00103D4E">
            <w:pPr>
              <w:ind w:left="-32"/>
              <w:rPr>
                <w:rFonts w:ascii="Times New Roman" w:hAnsi="Times New Roman" w:cs="Times New Roman"/>
                <w:lang w:val="en-US"/>
              </w:rPr>
            </w:pP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 To examine the efficacy and safety of autologous bone marrow-derived mononuclear cell (ABM-MNCs) transplantation in T2DM, and </w:t>
            </w:r>
            <w:r w:rsidR="00F462A4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to 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explore mechanis</w:t>
            </w:r>
            <w:r w:rsidR="00F462A4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 of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stem cell action through metabolic studies.</w:t>
            </w:r>
          </w:p>
        </w:tc>
        <w:tc>
          <w:tcPr>
            <w:tcW w:w="6930" w:type="dxa"/>
          </w:tcPr>
          <w:p w14:paraId="57286F0C" w14:textId="4CC11C5B" w:rsidR="00021148" w:rsidRPr="00E1479C" w:rsidRDefault="00CF7F88" w:rsidP="005B7FF3">
            <w:pPr>
              <w:ind w:left="250" w:hanging="250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1. </w:t>
            </w:r>
            <w:r w:rsidR="00103D4E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Six out of 7 (90%) patients achieved the primary end-point. </w:t>
            </w:r>
          </w:p>
          <w:p w14:paraId="54F3D65C" w14:textId="13048B92" w:rsidR="00CF7F88" w:rsidRPr="00E1479C" w:rsidRDefault="00CF7F88" w:rsidP="005B7FF3">
            <w:pPr>
              <w:ind w:left="250" w:hanging="250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2. S</w:t>
            </w:r>
            <w:r w:rsidR="00103D4E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ignificant reduction in insulin requirement by 51% 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at 6 months </w:t>
            </w:r>
            <w:r w:rsidR="00103D4E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compared to baseline (p &lt; 0.003). </w:t>
            </w:r>
          </w:p>
          <w:p w14:paraId="4333843C" w14:textId="503368C4" w:rsidR="00CF7F88" w:rsidRPr="00E1479C" w:rsidRDefault="00CF7F88" w:rsidP="005B7FF3">
            <w:pPr>
              <w:ind w:left="250" w:hanging="250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3. </w:t>
            </w:r>
            <w:r w:rsidR="00021148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103D4E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ignificant increase in the 2nd phase C-peptide response during </w:t>
            </w:r>
            <w:r w:rsidR="005B7FF3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hyperglycaemic</w:t>
            </w:r>
            <w:r w:rsidR="00103D4E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clamp (p = 0.018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but n</w:t>
            </w:r>
            <w:r w:rsidR="00103D4E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 significant alteration in insulin sensitivity 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or </w:t>
            </w:r>
            <w:r w:rsidR="00103D4E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glucose disposal rate during </w:t>
            </w:r>
            <w:proofErr w:type="spellStart"/>
            <w:r w:rsidR="00103D4E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hyperinsulinemic</w:t>
            </w:r>
            <w:proofErr w:type="spellEnd"/>
            <w:r w:rsidR="00103D4E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-euglycemic clamp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ing,</w:t>
            </w:r>
            <w:r w:rsidR="00103D4E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relative to baseline. </w:t>
            </w:r>
          </w:p>
          <w:p w14:paraId="5B5450E3" w14:textId="06BE0787" w:rsidR="00EE75A6" w:rsidRPr="00E1479C" w:rsidRDefault="00CF7F88" w:rsidP="005B7FF3">
            <w:pPr>
              <w:ind w:left="250" w:hanging="250"/>
              <w:rPr>
                <w:rFonts w:ascii="Times New Roman" w:hAnsi="Times New Roman" w:cs="Times New Roman"/>
                <w:lang w:val="en-US"/>
              </w:rPr>
            </w:pP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4. </w:t>
            </w:r>
            <w:r w:rsidR="00103D4E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Other measures of β-cell indices like HOMA-β, and stimulated C-peptide response to glucagon and mixed meal tolerance test were non-contributory</w:t>
            </w:r>
          </w:p>
        </w:tc>
        <w:tc>
          <w:tcPr>
            <w:tcW w:w="1530" w:type="dxa"/>
          </w:tcPr>
          <w:p w14:paraId="4CAFF80B" w14:textId="037F9CD0" w:rsidR="00EE75A6" w:rsidRPr="00E1479C" w:rsidRDefault="00F44F48">
            <w:pPr>
              <w:rPr>
                <w:rFonts w:ascii="Times New Roman" w:hAnsi="Times New Roman" w:cs="Times New Roman"/>
                <w:lang w:val="en-US"/>
              </w:rPr>
            </w:pPr>
            <w:r w:rsidRPr="00F44F48">
              <w:rPr>
                <w:rFonts w:ascii="Times New Roman" w:hAnsi="Times New Roman" w:cs="Times New Roman"/>
                <w:lang w:val="en-US"/>
              </w:rPr>
              <w:t>(1)</w:t>
            </w:r>
            <w:r w:rsidRPr="00E1479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E75A6" w:rsidRPr="00E1479C" w14:paraId="11B041F2" w14:textId="77777777" w:rsidTr="005B7FF3">
        <w:tc>
          <w:tcPr>
            <w:tcW w:w="2358" w:type="dxa"/>
          </w:tcPr>
          <w:p w14:paraId="40DA03E7" w14:textId="29A493B0" w:rsidR="00EE75A6" w:rsidRPr="00E1479C" w:rsidRDefault="0005471C">
            <w:pPr>
              <w:rPr>
                <w:rFonts w:ascii="Times New Roman" w:hAnsi="Times New Roman" w:cs="Times New Roman"/>
                <w:lang w:val="en-US"/>
              </w:rPr>
            </w:pPr>
            <w:r w:rsidRPr="00E1479C">
              <w:rPr>
                <w:rFonts w:ascii="Times New Roman" w:hAnsi="Times New Roman" w:cs="Times New Roman"/>
                <w:lang w:val="en-US"/>
              </w:rPr>
              <w:t>NCT00883870</w:t>
            </w:r>
          </w:p>
        </w:tc>
        <w:tc>
          <w:tcPr>
            <w:tcW w:w="3037" w:type="dxa"/>
          </w:tcPr>
          <w:p w14:paraId="06D48D7D" w14:textId="3A4202BA" w:rsidR="00EE75A6" w:rsidRPr="00E1479C" w:rsidRDefault="00B36E70">
            <w:pPr>
              <w:rPr>
                <w:rFonts w:ascii="Times New Roman" w:hAnsi="Times New Roman" w:cs="Times New Roman"/>
                <w:lang w:val="en-US"/>
              </w:rPr>
            </w:pP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 The primary objective was to determine the safety of BM- MSCs in patients with </w:t>
            </w:r>
            <w:r w:rsidR="005B7FF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Critical limb ischemia (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CLI</w:t>
            </w:r>
            <w:r w:rsidR="005B7FF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)</w:t>
            </w:r>
            <w:r w:rsidR="00356240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; two arms- placebo, and BM-MSC</w:t>
            </w:r>
          </w:p>
        </w:tc>
        <w:tc>
          <w:tcPr>
            <w:tcW w:w="6930" w:type="dxa"/>
          </w:tcPr>
          <w:p w14:paraId="386012F2" w14:textId="7B608FFD" w:rsidR="00AC48D0" w:rsidRPr="00F85D48" w:rsidRDefault="00B36E70" w:rsidP="005B7FF3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5B7FF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Improvement was observed in rest pain scores in both the arms. </w:t>
            </w:r>
          </w:p>
          <w:p w14:paraId="7EA28F2D" w14:textId="7B3A1ABC" w:rsidR="00AC48D0" w:rsidRPr="00F85D48" w:rsidRDefault="00B36E70" w:rsidP="005B7FF3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5B7FF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Significant increase in ABPI and ankle pressure in BM-MSC arm compared to placebo. </w:t>
            </w:r>
          </w:p>
          <w:p w14:paraId="062D61A8" w14:textId="2A1B0990" w:rsidR="00EE75A6" w:rsidRPr="005B7FF3" w:rsidRDefault="00B36E70" w:rsidP="005B7FF3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5B7FF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Incidence of AEs in the BM-MSC arm was </w:t>
            </w:r>
            <w:r w:rsidR="00AC48D0" w:rsidRPr="00F85D4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higher in … (</w:t>
            </w:r>
            <w:r w:rsidRPr="005B7FF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13 vs. 45</w:t>
            </w:r>
            <w:r w:rsidR="00AC48D0" w:rsidRPr="00F85D4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)</w:t>
            </w:r>
            <w:r w:rsidRPr="005B7FF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in the placebo arm</w:t>
            </w:r>
            <w:r w:rsidR="00AC48D0" w:rsidRPr="00F85D4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Pr="005B7FF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whereas SAE</w:t>
            </w:r>
            <w:r w:rsidR="00AC48D0" w:rsidRPr="00F85D4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Pr="005B7FF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were similar in both arms (5 in BM-MSC and 4 in the placebo group)</w:t>
            </w:r>
            <w:r w:rsidR="00AC48D0" w:rsidRPr="00F85D4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; </w:t>
            </w:r>
            <w:r w:rsidRPr="005B7FF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SAEs were related to disease progression and not to stem cells.</w:t>
            </w:r>
          </w:p>
          <w:p w14:paraId="23449C59" w14:textId="0BE5A800" w:rsidR="00B36E70" w:rsidRPr="005B7FF3" w:rsidRDefault="00B36E70" w:rsidP="005B7FF3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="Times New Roman" w:hAnsi="Times New Roman" w:cs="Times New Roman"/>
                <w:lang w:val="en-US"/>
              </w:rPr>
            </w:pPr>
            <w:r w:rsidRPr="005B7FF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BM-MSCs are safe when injected IM at a dose of 2 million cells/kg body weight. </w:t>
            </w:r>
            <w:r w:rsidR="00AC48D0" w:rsidRPr="005B7FF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Encouraging results in</w:t>
            </w:r>
            <w:r w:rsidRPr="005B7FF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ABPI and ankle pressure warrant</w:t>
            </w:r>
            <w:r w:rsidR="00AC48D0" w:rsidRPr="005B7FF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5B7FF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further studies.</w:t>
            </w:r>
          </w:p>
        </w:tc>
        <w:tc>
          <w:tcPr>
            <w:tcW w:w="1530" w:type="dxa"/>
          </w:tcPr>
          <w:p w14:paraId="1A2ED50E" w14:textId="42A5FCD5" w:rsidR="00EE75A6" w:rsidRPr="00E1479C" w:rsidRDefault="00F44F48">
            <w:pPr>
              <w:rPr>
                <w:rFonts w:ascii="Times New Roman" w:hAnsi="Times New Roman" w:cs="Times New Roman"/>
                <w:lang w:val="en-US"/>
              </w:rPr>
            </w:pPr>
            <w:r w:rsidRPr="00F44F48">
              <w:rPr>
                <w:rFonts w:ascii="Times New Roman" w:hAnsi="Times New Roman" w:cs="Times New Roman"/>
              </w:rPr>
              <w:t>(2)</w:t>
            </w:r>
          </w:p>
        </w:tc>
      </w:tr>
      <w:tr w:rsidR="00EE75A6" w:rsidRPr="00E1479C" w14:paraId="1372F9DF" w14:textId="77777777" w:rsidTr="005B7FF3">
        <w:tc>
          <w:tcPr>
            <w:tcW w:w="2358" w:type="dxa"/>
          </w:tcPr>
          <w:p w14:paraId="31DE9BCF" w14:textId="3BCE859D" w:rsidR="00EE75A6" w:rsidRPr="00E1479C" w:rsidRDefault="0005471C">
            <w:pPr>
              <w:rPr>
                <w:rFonts w:ascii="Times New Roman" w:hAnsi="Times New Roman" w:cs="Times New Roman"/>
                <w:lang w:val="en-US"/>
              </w:rPr>
            </w:pPr>
            <w:r w:rsidRPr="00E1479C">
              <w:rPr>
                <w:rFonts w:ascii="Times New Roman" w:hAnsi="Times New Roman" w:cs="Times New Roman"/>
                <w:lang w:val="en-US"/>
              </w:rPr>
              <w:t>NCT00883727</w:t>
            </w:r>
          </w:p>
        </w:tc>
        <w:tc>
          <w:tcPr>
            <w:tcW w:w="3037" w:type="dxa"/>
          </w:tcPr>
          <w:p w14:paraId="440C2532" w14:textId="76C36AC4" w:rsidR="00EE75A6" w:rsidRPr="00E1479C" w:rsidRDefault="00F27117">
            <w:pPr>
              <w:rPr>
                <w:rFonts w:ascii="Times New Roman" w:hAnsi="Times New Roman" w:cs="Times New Roman"/>
                <w:lang w:val="en-US"/>
              </w:rPr>
            </w:pP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Recently developed investigational new drug named </w:t>
            </w:r>
            <w:proofErr w:type="spellStart"/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Stempeucel</w:t>
            </w:r>
            <w:proofErr w:type="spellEnd"/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DC6B72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that contains 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bone marrow-derived allogeneic mesenchymal stromal cells</w:t>
            </w:r>
            <w:r w:rsidR="00DC6B72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DC6B72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For use in 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patients with acute myocardial infarction (AMI) with ST-segment elevation. A phase I/II randomized, double-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 xml:space="preserve">blind, single-dose study was conducted to assess the safety and efficacy of intravenous administration of </w:t>
            </w:r>
            <w:proofErr w:type="spellStart"/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Stempeucel</w:t>
            </w:r>
            <w:proofErr w:type="spellEnd"/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versus placebo (multiple electrolyte injection).</w:t>
            </w:r>
          </w:p>
        </w:tc>
        <w:tc>
          <w:tcPr>
            <w:tcW w:w="6930" w:type="dxa"/>
          </w:tcPr>
          <w:p w14:paraId="6DF7E1C0" w14:textId="37B03376" w:rsidR="00DC6B72" w:rsidRPr="00F85D48" w:rsidRDefault="00DC6B72" w:rsidP="005B7FF3">
            <w:pPr>
              <w:pStyle w:val="NormalWeb"/>
              <w:shd w:val="clear" w:color="auto" w:fill="FFFFFF"/>
              <w:ind w:left="250" w:hanging="250"/>
              <w:rPr>
                <w:color w:val="212121"/>
                <w:sz w:val="22"/>
                <w:szCs w:val="22"/>
              </w:rPr>
            </w:pPr>
            <w:r w:rsidRPr="005B7FF3">
              <w:rPr>
                <w:rStyle w:val="Strong"/>
                <w:b w:val="0"/>
                <w:bCs w:val="0"/>
                <w:color w:val="212121"/>
                <w:sz w:val="22"/>
                <w:szCs w:val="22"/>
              </w:rPr>
              <w:lastRenderedPageBreak/>
              <w:t xml:space="preserve">1. </w:t>
            </w:r>
            <w:r w:rsidRPr="00F85D48">
              <w:rPr>
                <w:color w:val="212121"/>
                <w:sz w:val="22"/>
                <w:szCs w:val="22"/>
              </w:rPr>
              <w:t>N</w:t>
            </w:r>
            <w:r w:rsidR="00F27117" w:rsidRPr="00F85D48">
              <w:rPr>
                <w:color w:val="212121"/>
                <w:sz w:val="22"/>
                <w:szCs w:val="22"/>
              </w:rPr>
              <w:t xml:space="preserve">umber of treatment-emergent adverse events </w:t>
            </w:r>
            <w:r w:rsidRPr="00F85D48">
              <w:rPr>
                <w:color w:val="212121"/>
                <w:sz w:val="22"/>
                <w:szCs w:val="22"/>
              </w:rPr>
              <w:t>were similar (</w:t>
            </w:r>
            <w:r w:rsidR="00F27117" w:rsidRPr="00F85D48">
              <w:rPr>
                <w:color w:val="212121"/>
                <w:sz w:val="22"/>
                <w:szCs w:val="22"/>
              </w:rPr>
              <w:t xml:space="preserve">18 </w:t>
            </w:r>
            <w:r w:rsidRPr="00F85D48">
              <w:rPr>
                <w:color w:val="212121"/>
                <w:sz w:val="22"/>
                <w:szCs w:val="22"/>
              </w:rPr>
              <w:t xml:space="preserve">in </w:t>
            </w:r>
            <w:proofErr w:type="spellStart"/>
            <w:r w:rsidRPr="00F85D48">
              <w:rPr>
                <w:color w:val="212121"/>
                <w:sz w:val="22"/>
                <w:szCs w:val="22"/>
              </w:rPr>
              <w:t>Stempeucel</w:t>
            </w:r>
            <w:proofErr w:type="spellEnd"/>
            <w:r w:rsidRPr="00F85D48">
              <w:rPr>
                <w:color w:val="212121"/>
                <w:sz w:val="22"/>
                <w:szCs w:val="22"/>
              </w:rPr>
              <w:t xml:space="preserve"> vs. </w:t>
            </w:r>
            <w:r w:rsidR="00F27117" w:rsidRPr="00F85D48">
              <w:rPr>
                <w:color w:val="212121"/>
                <w:sz w:val="22"/>
                <w:szCs w:val="22"/>
              </w:rPr>
              <w:t>21 in placebo groups</w:t>
            </w:r>
            <w:r w:rsidRPr="00F85D48">
              <w:rPr>
                <w:color w:val="212121"/>
                <w:sz w:val="22"/>
                <w:szCs w:val="22"/>
              </w:rPr>
              <w:t>)</w:t>
            </w:r>
            <w:r w:rsidR="00F27117" w:rsidRPr="00F85D48">
              <w:rPr>
                <w:color w:val="212121"/>
                <w:sz w:val="22"/>
                <w:szCs w:val="22"/>
              </w:rPr>
              <w:t xml:space="preserve">. </w:t>
            </w:r>
          </w:p>
          <w:p w14:paraId="1C077544" w14:textId="77777777" w:rsidR="00DC6B72" w:rsidRPr="00F85D48" w:rsidRDefault="00DC6B72" w:rsidP="005B7FF3">
            <w:pPr>
              <w:pStyle w:val="NormalWeb"/>
              <w:shd w:val="clear" w:color="auto" w:fill="FFFFFF"/>
              <w:ind w:left="250" w:hanging="250"/>
              <w:rPr>
                <w:color w:val="212121"/>
                <w:sz w:val="22"/>
                <w:szCs w:val="22"/>
              </w:rPr>
            </w:pPr>
            <w:r w:rsidRPr="00F85D48">
              <w:rPr>
                <w:color w:val="212121"/>
                <w:sz w:val="22"/>
                <w:szCs w:val="22"/>
              </w:rPr>
              <w:t xml:space="preserve">2. </w:t>
            </w:r>
            <w:r w:rsidR="00F27117" w:rsidRPr="00F85D48">
              <w:rPr>
                <w:color w:val="212121"/>
                <w:sz w:val="22"/>
                <w:szCs w:val="22"/>
              </w:rPr>
              <w:t xml:space="preserve">None of the adverse events were related to </w:t>
            </w:r>
            <w:proofErr w:type="spellStart"/>
            <w:r w:rsidR="00F27117" w:rsidRPr="00F85D48">
              <w:rPr>
                <w:color w:val="212121"/>
                <w:sz w:val="22"/>
                <w:szCs w:val="22"/>
              </w:rPr>
              <w:t>Stempeucel</w:t>
            </w:r>
            <w:proofErr w:type="spellEnd"/>
            <w:r w:rsidRPr="00F85D48">
              <w:rPr>
                <w:color w:val="212121"/>
                <w:sz w:val="22"/>
                <w:szCs w:val="22"/>
              </w:rPr>
              <w:t>,</w:t>
            </w:r>
            <w:r w:rsidR="00F27117" w:rsidRPr="00F85D48">
              <w:rPr>
                <w:color w:val="212121"/>
                <w:sz w:val="22"/>
                <w:szCs w:val="22"/>
              </w:rPr>
              <w:t xml:space="preserve"> according to the investigators and </w:t>
            </w:r>
            <w:r w:rsidRPr="00F85D48">
              <w:rPr>
                <w:color w:val="212121"/>
                <w:sz w:val="22"/>
                <w:szCs w:val="22"/>
              </w:rPr>
              <w:t xml:space="preserve">the </w:t>
            </w:r>
            <w:r w:rsidR="00F27117" w:rsidRPr="00F85D48">
              <w:rPr>
                <w:color w:val="212121"/>
                <w:sz w:val="22"/>
                <w:szCs w:val="22"/>
              </w:rPr>
              <w:t xml:space="preserve">independent data safety monitoring board. </w:t>
            </w:r>
          </w:p>
          <w:p w14:paraId="4C31F10F" w14:textId="5979E3E8" w:rsidR="00DC6B72" w:rsidRPr="00F85D48" w:rsidRDefault="00DC6B72" w:rsidP="005B7FF3">
            <w:pPr>
              <w:pStyle w:val="NormalWeb"/>
              <w:shd w:val="clear" w:color="auto" w:fill="FFFFFF"/>
              <w:ind w:left="250" w:hanging="250"/>
              <w:rPr>
                <w:color w:val="212121"/>
                <w:sz w:val="22"/>
                <w:szCs w:val="22"/>
              </w:rPr>
            </w:pPr>
            <w:r w:rsidRPr="00F85D48">
              <w:rPr>
                <w:color w:val="212121"/>
                <w:sz w:val="22"/>
                <w:szCs w:val="22"/>
              </w:rPr>
              <w:lastRenderedPageBreak/>
              <w:t xml:space="preserve">3. </w:t>
            </w:r>
            <w:r w:rsidR="00F27117" w:rsidRPr="00F85D48">
              <w:rPr>
                <w:color w:val="212121"/>
                <w:sz w:val="22"/>
                <w:szCs w:val="22"/>
              </w:rPr>
              <w:t xml:space="preserve">There </w:t>
            </w:r>
            <w:r w:rsidRPr="00F85D48">
              <w:rPr>
                <w:color w:val="212121"/>
                <w:sz w:val="22"/>
                <w:szCs w:val="22"/>
              </w:rPr>
              <w:t xml:space="preserve">were </w:t>
            </w:r>
            <w:r w:rsidR="00F27117" w:rsidRPr="00F85D48">
              <w:rPr>
                <w:color w:val="212121"/>
                <w:sz w:val="22"/>
                <w:szCs w:val="22"/>
              </w:rPr>
              <w:t>no serious adverse event</w:t>
            </w:r>
            <w:r w:rsidRPr="00F85D48">
              <w:rPr>
                <w:color w:val="212121"/>
                <w:sz w:val="22"/>
                <w:szCs w:val="22"/>
              </w:rPr>
              <w:t>s</w:t>
            </w:r>
            <w:r w:rsidR="00F27117" w:rsidRPr="00F85D48">
              <w:rPr>
                <w:color w:val="212121"/>
                <w:sz w:val="22"/>
                <w:szCs w:val="22"/>
              </w:rPr>
              <w:t xml:space="preserve"> in the </w:t>
            </w:r>
            <w:proofErr w:type="spellStart"/>
            <w:r w:rsidR="00F27117" w:rsidRPr="00F85D48">
              <w:rPr>
                <w:color w:val="212121"/>
                <w:sz w:val="22"/>
                <w:szCs w:val="22"/>
              </w:rPr>
              <w:t>Stempeucel</w:t>
            </w:r>
            <w:proofErr w:type="spellEnd"/>
            <w:r w:rsidR="00F27117" w:rsidRPr="00F85D48">
              <w:rPr>
                <w:color w:val="212121"/>
                <w:sz w:val="22"/>
                <w:szCs w:val="22"/>
              </w:rPr>
              <w:t xml:space="preserve"> group </w:t>
            </w:r>
            <w:r w:rsidRPr="00F85D48">
              <w:rPr>
                <w:color w:val="212121"/>
                <w:sz w:val="22"/>
                <w:szCs w:val="22"/>
              </w:rPr>
              <w:t xml:space="preserve">but </w:t>
            </w:r>
            <w:r w:rsidR="00F27117" w:rsidRPr="00F85D48">
              <w:rPr>
                <w:color w:val="212121"/>
                <w:sz w:val="22"/>
                <w:szCs w:val="22"/>
              </w:rPr>
              <w:t xml:space="preserve">there were three serious adverse events in the placebo group, of which one had a fatal outcome. </w:t>
            </w:r>
          </w:p>
          <w:p w14:paraId="507B8E4A" w14:textId="34292AB3" w:rsidR="00DC6B72" w:rsidRPr="00F85D48" w:rsidRDefault="00DC6B72" w:rsidP="005B7FF3">
            <w:pPr>
              <w:pStyle w:val="NormalWeb"/>
              <w:shd w:val="clear" w:color="auto" w:fill="FFFFFF"/>
              <w:ind w:left="250" w:hanging="250"/>
              <w:rPr>
                <w:color w:val="212121"/>
                <w:sz w:val="22"/>
                <w:szCs w:val="22"/>
              </w:rPr>
            </w:pPr>
            <w:r w:rsidRPr="00F85D48">
              <w:rPr>
                <w:color w:val="212121"/>
                <w:sz w:val="22"/>
                <w:szCs w:val="22"/>
              </w:rPr>
              <w:t xml:space="preserve">4. </w:t>
            </w:r>
            <w:r w:rsidR="00F27117" w:rsidRPr="00F85D48">
              <w:rPr>
                <w:color w:val="212121"/>
                <w:sz w:val="22"/>
                <w:szCs w:val="22"/>
              </w:rPr>
              <w:t>Ejection fraction</w:t>
            </w:r>
            <w:r w:rsidRPr="00F85D48">
              <w:rPr>
                <w:color w:val="212121"/>
                <w:sz w:val="22"/>
                <w:szCs w:val="22"/>
              </w:rPr>
              <w:t>,</w:t>
            </w:r>
            <w:r w:rsidR="00F27117" w:rsidRPr="00F85D48">
              <w:rPr>
                <w:color w:val="212121"/>
                <w:sz w:val="22"/>
                <w:szCs w:val="22"/>
              </w:rPr>
              <w:t xml:space="preserve"> determined </w:t>
            </w:r>
            <w:r w:rsidRPr="00F85D48">
              <w:rPr>
                <w:color w:val="212121"/>
                <w:sz w:val="22"/>
                <w:szCs w:val="22"/>
              </w:rPr>
              <w:t>using</w:t>
            </w:r>
            <w:r w:rsidR="00F27117" w:rsidRPr="00F85D48">
              <w:rPr>
                <w:color w:val="212121"/>
                <w:sz w:val="22"/>
                <w:szCs w:val="22"/>
              </w:rPr>
              <w:t xml:space="preserve"> echocardiography</w:t>
            </w:r>
            <w:r w:rsidRPr="00F85D48">
              <w:rPr>
                <w:color w:val="212121"/>
                <w:sz w:val="22"/>
                <w:szCs w:val="22"/>
              </w:rPr>
              <w:t>,</w:t>
            </w:r>
            <w:r w:rsidR="00F27117" w:rsidRPr="00F85D48">
              <w:rPr>
                <w:color w:val="212121"/>
                <w:sz w:val="22"/>
                <w:szCs w:val="22"/>
              </w:rPr>
              <w:t xml:space="preserve"> showed improvement in both </w:t>
            </w:r>
            <w:proofErr w:type="spellStart"/>
            <w:r w:rsidR="00F27117" w:rsidRPr="00F85D48">
              <w:rPr>
                <w:color w:val="212121"/>
                <w:sz w:val="22"/>
                <w:szCs w:val="22"/>
              </w:rPr>
              <w:t>Stempeucel</w:t>
            </w:r>
            <w:proofErr w:type="spellEnd"/>
            <w:r w:rsidR="00F27117" w:rsidRPr="00F85D48">
              <w:rPr>
                <w:color w:val="212121"/>
                <w:sz w:val="22"/>
                <w:szCs w:val="22"/>
              </w:rPr>
              <w:t xml:space="preserve"> (43.06% to 47.80%) and placebo (43.44% to 45.33%) groups at 6 months (P = 0.26). </w:t>
            </w:r>
          </w:p>
          <w:p w14:paraId="119D5F62" w14:textId="49DBC05E" w:rsidR="00F27117" w:rsidRPr="00F85D48" w:rsidRDefault="00DC6B72" w:rsidP="005B7FF3">
            <w:pPr>
              <w:pStyle w:val="NormalWeb"/>
              <w:shd w:val="clear" w:color="auto" w:fill="FFFFFF"/>
              <w:ind w:left="250" w:hanging="250"/>
              <w:rPr>
                <w:color w:val="212121"/>
                <w:sz w:val="22"/>
                <w:szCs w:val="22"/>
              </w:rPr>
            </w:pPr>
            <w:r w:rsidRPr="00F85D48">
              <w:rPr>
                <w:color w:val="212121"/>
                <w:sz w:val="22"/>
                <w:szCs w:val="22"/>
              </w:rPr>
              <w:t xml:space="preserve">5. </w:t>
            </w:r>
            <w:r w:rsidR="00F27117" w:rsidRPr="00F85D48">
              <w:rPr>
                <w:color w:val="212121"/>
                <w:sz w:val="22"/>
                <w:szCs w:val="22"/>
              </w:rPr>
              <w:t>Perfusion scores measured by use of single-photon emission tomography and infarct volume measured by use of magnetic resonance imaging showed no significant differences between the two groups at 6 months.</w:t>
            </w:r>
          </w:p>
          <w:p w14:paraId="5D60DA9D" w14:textId="4DB05047" w:rsidR="00F27117" w:rsidRPr="00F85D48" w:rsidRDefault="00F27117" w:rsidP="005B7FF3">
            <w:pPr>
              <w:pStyle w:val="NormalWeb"/>
              <w:shd w:val="clear" w:color="auto" w:fill="FFFFFF"/>
              <w:ind w:left="250" w:hanging="250"/>
              <w:rPr>
                <w:color w:val="212121"/>
                <w:sz w:val="22"/>
                <w:szCs w:val="22"/>
              </w:rPr>
            </w:pPr>
            <w:r w:rsidRPr="005B7FF3">
              <w:rPr>
                <w:rStyle w:val="Strong"/>
                <w:b w:val="0"/>
                <w:bCs w:val="0"/>
                <w:color w:val="212121"/>
                <w:sz w:val="22"/>
                <w:szCs w:val="22"/>
              </w:rPr>
              <w:t>Conclusions: </w:t>
            </w:r>
            <w:proofErr w:type="spellStart"/>
            <w:r w:rsidRPr="00F85D48">
              <w:rPr>
                <w:color w:val="212121"/>
                <w:sz w:val="22"/>
                <w:szCs w:val="22"/>
              </w:rPr>
              <w:t>Stempeucel</w:t>
            </w:r>
            <w:proofErr w:type="spellEnd"/>
            <w:r w:rsidRPr="00F85D48">
              <w:rPr>
                <w:color w:val="212121"/>
                <w:sz w:val="22"/>
                <w:szCs w:val="22"/>
              </w:rPr>
              <w:t xml:space="preserve"> was safe and well</w:t>
            </w:r>
            <w:r w:rsidR="00DC6B72" w:rsidRPr="00F85D48">
              <w:rPr>
                <w:color w:val="212121"/>
                <w:sz w:val="22"/>
                <w:szCs w:val="22"/>
              </w:rPr>
              <w:t>-</w:t>
            </w:r>
            <w:r w:rsidRPr="00F85D48">
              <w:rPr>
                <w:color w:val="212121"/>
                <w:sz w:val="22"/>
                <w:szCs w:val="22"/>
              </w:rPr>
              <w:t>tolerated when administered intravenously in AMI patients 2 days after percutaneous coronary intervention. The optimal dose and route of administration need further evaluation in larger clinical trials</w:t>
            </w:r>
            <w:r w:rsidR="00DC6B72" w:rsidRPr="00F85D48">
              <w:rPr>
                <w:color w:val="212121"/>
                <w:sz w:val="22"/>
                <w:szCs w:val="22"/>
              </w:rPr>
              <w:t>.</w:t>
            </w:r>
          </w:p>
          <w:p w14:paraId="20FBD691" w14:textId="77777777" w:rsidR="00EE75A6" w:rsidRPr="00F85D48" w:rsidRDefault="00EE75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14:paraId="786345A0" w14:textId="2B06F38F" w:rsidR="00EE75A6" w:rsidRPr="00E1479C" w:rsidRDefault="00F44F48">
            <w:pPr>
              <w:rPr>
                <w:rFonts w:ascii="Times New Roman" w:hAnsi="Times New Roman" w:cs="Times New Roman"/>
                <w:lang w:val="en-US"/>
              </w:rPr>
            </w:pPr>
            <w:r w:rsidRPr="00F44F48">
              <w:rPr>
                <w:rFonts w:ascii="Times New Roman" w:hAnsi="Times New Roman" w:cs="Times New Roman"/>
              </w:rPr>
              <w:lastRenderedPageBreak/>
              <w:t>(3)</w:t>
            </w:r>
          </w:p>
        </w:tc>
      </w:tr>
      <w:tr w:rsidR="00EE75A6" w:rsidRPr="00E1479C" w14:paraId="0A75EB50" w14:textId="77777777" w:rsidTr="005B7FF3">
        <w:tc>
          <w:tcPr>
            <w:tcW w:w="2358" w:type="dxa"/>
          </w:tcPr>
          <w:p w14:paraId="3CE8A579" w14:textId="02F52049" w:rsidR="00EE75A6" w:rsidRPr="00E1479C" w:rsidRDefault="0005471C">
            <w:pPr>
              <w:rPr>
                <w:rFonts w:ascii="Times New Roman" w:hAnsi="Times New Roman" w:cs="Times New Roman"/>
                <w:lang w:val="en-US"/>
              </w:rPr>
            </w:pPr>
            <w:r w:rsidRPr="00E1479C">
              <w:rPr>
                <w:rFonts w:ascii="Times New Roman" w:hAnsi="Times New Roman" w:cs="Times New Roman"/>
                <w:lang w:val="en-US"/>
              </w:rPr>
              <w:t>NCT02425670</w:t>
            </w:r>
          </w:p>
        </w:tc>
        <w:tc>
          <w:tcPr>
            <w:tcW w:w="3037" w:type="dxa"/>
          </w:tcPr>
          <w:p w14:paraId="4420D50B" w14:textId="177CC155" w:rsidR="00EE75A6" w:rsidRPr="00E1479C" w:rsidRDefault="00061C08">
            <w:pPr>
              <w:rPr>
                <w:rFonts w:ascii="Times New Roman" w:hAnsi="Times New Roman" w:cs="Times New Roman"/>
                <w:lang w:val="en-US"/>
              </w:rPr>
            </w:pP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The efficacy and safety of autologous BMSCs in subacute ischemic stroke was evaluated as p</w:t>
            </w:r>
            <w:r w:rsidR="006B7C37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ilot studies have suggested benefit from intravenous administration of bone marrow mononuclear stem cells (BMSCs) in stroke.</w:t>
            </w:r>
          </w:p>
        </w:tc>
        <w:tc>
          <w:tcPr>
            <w:tcW w:w="6930" w:type="dxa"/>
          </w:tcPr>
          <w:p w14:paraId="20B1449E" w14:textId="469C1462" w:rsidR="00061C08" w:rsidRPr="00E1479C" w:rsidRDefault="006B7C37" w:rsidP="005B7FF3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250" w:hanging="270"/>
              <w:rPr>
                <w:color w:val="212121"/>
                <w:sz w:val="22"/>
                <w:szCs w:val="22"/>
              </w:rPr>
            </w:pPr>
            <w:r w:rsidRPr="00E1479C">
              <w:rPr>
                <w:color w:val="212121"/>
                <w:sz w:val="22"/>
                <w:szCs w:val="22"/>
              </w:rPr>
              <w:t xml:space="preserve">Fifty-eight patients received 280.75 million BMSCs </w:t>
            </w:r>
            <w:r w:rsidR="00061C08" w:rsidRPr="00E1479C">
              <w:rPr>
                <w:color w:val="212121"/>
                <w:sz w:val="22"/>
                <w:szCs w:val="22"/>
              </w:rPr>
              <w:t xml:space="preserve">(mean value) </w:t>
            </w:r>
            <w:r w:rsidRPr="00E1479C">
              <w:rPr>
                <w:color w:val="212121"/>
                <w:sz w:val="22"/>
                <w:szCs w:val="22"/>
              </w:rPr>
              <w:t xml:space="preserve">at median 18.5 days after stroke onset. </w:t>
            </w:r>
          </w:p>
          <w:p w14:paraId="3F114DEB" w14:textId="5A8D3750" w:rsidR="00061C08" w:rsidRPr="00E1479C" w:rsidRDefault="00061C08" w:rsidP="005B7FF3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250" w:hanging="270"/>
              <w:rPr>
                <w:color w:val="212121"/>
                <w:sz w:val="22"/>
                <w:szCs w:val="22"/>
              </w:rPr>
            </w:pPr>
            <w:r w:rsidRPr="00E1479C">
              <w:rPr>
                <w:color w:val="212121"/>
                <w:sz w:val="22"/>
                <w:szCs w:val="22"/>
              </w:rPr>
              <w:t>At day 180, th</w:t>
            </w:r>
            <w:r w:rsidR="006B7C37" w:rsidRPr="00E1479C">
              <w:rPr>
                <w:color w:val="212121"/>
                <w:sz w:val="22"/>
                <w:szCs w:val="22"/>
              </w:rPr>
              <w:t xml:space="preserve">ere was no significant difference between </w:t>
            </w:r>
            <w:r w:rsidRPr="00E1479C">
              <w:rPr>
                <w:color w:val="212121"/>
                <w:sz w:val="22"/>
                <w:szCs w:val="22"/>
              </w:rPr>
              <w:t xml:space="preserve">the </w:t>
            </w:r>
            <w:r w:rsidR="006B7C37" w:rsidRPr="00E1479C">
              <w:rPr>
                <w:color w:val="212121"/>
                <w:sz w:val="22"/>
                <w:szCs w:val="22"/>
              </w:rPr>
              <w:t>BMSCs and control arm</w:t>
            </w:r>
            <w:r w:rsidRPr="00E1479C">
              <w:rPr>
                <w:color w:val="212121"/>
                <w:sz w:val="22"/>
                <w:szCs w:val="22"/>
              </w:rPr>
              <w:t>s</w:t>
            </w:r>
            <w:r w:rsidR="006B7C37" w:rsidRPr="00E1479C">
              <w:rPr>
                <w:color w:val="212121"/>
                <w:sz w:val="22"/>
                <w:szCs w:val="22"/>
              </w:rPr>
              <w:t xml:space="preserve"> in the Barthel Index score (63.1 versus 63.6; P=0.92), modified Rankin scale shift analysis (P=0.53) or score &gt;3 (47.5% versus 49.2%; P=0.85), NIHSS score (6.3 versus 7.0; P=0.53), change in infarct volume (-11.1 versus -7.36; P=0.63). </w:t>
            </w:r>
          </w:p>
          <w:p w14:paraId="0B0993ED" w14:textId="088DE469" w:rsidR="006B7C37" w:rsidRPr="00E1479C" w:rsidRDefault="006B7C37" w:rsidP="005B7FF3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250" w:hanging="270"/>
              <w:rPr>
                <w:color w:val="212121"/>
                <w:sz w:val="22"/>
                <w:szCs w:val="22"/>
              </w:rPr>
            </w:pPr>
            <w:r w:rsidRPr="00E1479C">
              <w:rPr>
                <w:color w:val="212121"/>
                <w:sz w:val="22"/>
                <w:szCs w:val="22"/>
              </w:rPr>
              <w:t xml:space="preserve">Adverse events were similar in </w:t>
            </w:r>
            <w:r w:rsidR="00061C08" w:rsidRPr="00E1479C">
              <w:rPr>
                <w:color w:val="212121"/>
                <w:sz w:val="22"/>
                <w:szCs w:val="22"/>
              </w:rPr>
              <w:t>both</w:t>
            </w:r>
            <w:r w:rsidRPr="00E1479C">
              <w:rPr>
                <w:color w:val="212121"/>
                <w:sz w:val="22"/>
                <w:szCs w:val="22"/>
              </w:rPr>
              <w:t xml:space="preserve"> arms, and no patient showed any new area of (18)fluorodeoxyglucose uptake.</w:t>
            </w:r>
          </w:p>
          <w:p w14:paraId="097C9330" w14:textId="411F42E6" w:rsidR="006B7C37" w:rsidRPr="00E1479C" w:rsidRDefault="006B7C37" w:rsidP="006B7C37">
            <w:pPr>
              <w:pStyle w:val="NormalWeb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E1479C">
              <w:rPr>
                <w:rStyle w:val="Strong"/>
                <w:color w:val="212121"/>
                <w:sz w:val="22"/>
                <w:szCs w:val="22"/>
              </w:rPr>
              <w:t>Conclusions: </w:t>
            </w:r>
            <w:r w:rsidRPr="00E1479C">
              <w:rPr>
                <w:color w:val="212121"/>
                <w:sz w:val="22"/>
                <w:szCs w:val="22"/>
              </w:rPr>
              <w:t xml:space="preserve">With the methods used, </w:t>
            </w:r>
            <w:r w:rsidR="00061C08" w:rsidRPr="00E1479C">
              <w:rPr>
                <w:color w:val="212121"/>
                <w:sz w:val="22"/>
                <w:szCs w:val="22"/>
              </w:rPr>
              <w:t>while</w:t>
            </w:r>
            <w:r w:rsidRPr="00E1479C">
              <w:rPr>
                <w:color w:val="212121"/>
                <w:sz w:val="22"/>
                <w:szCs w:val="22"/>
              </w:rPr>
              <w:t xml:space="preserve"> intravenous infusion of BMSCs is safe, there is no beneficial effect of treatment on stroke outcome</w:t>
            </w:r>
            <w:r w:rsidR="00061C08" w:rsidRPr="00E1479C">
              <w:rPr>
                <w:color w:val="212121"/>
                <w:sz w:val="22"/>
                <w:szCs w:val="22"/>
              </w:rPr>
              <w:t>s</w:t>
            </w:r>
            <w:r w:rsidRPr="00E1479C">
              <w:rPr>
                <w:color w:val="212121"/>
                <w:sz w:val="22"/>
                <w:szCs w:val="22"/>
              </w:rPr>
              <w:t>.</w:t>
            </w:r>
          </w:p>
          <w:p w14:paraId="3A99E8C7" w14:textId="77777777" w:rsidR="00EE75A6" w:rsidRPr="00E1479C" w:rsidRDefault="00EE75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14:paraId="3D83F5B5" w14:textId="571718F4" w:rsidR="00EE75A6" w:rsidRPr="00E1479C" w:rsidRDefault="00F44F48">
            <w:pPr>
              <w:rPr>
                <w:rFonts w:ascii="Times New Roman" w:hAnsi="Times New Roman" w:cs="Times New Roman"/>
                <w:lang w:val="en-US"/>
              </w:rPr>
            </w:pPr>
            <w:r w:rsidRPr="00F44F48">
              <w:rPr>
                <w:rFonts w:ascii="Times New Roman" w:hAnsi="Times New Roman" w:cs="Times New Roman"/>
              </w:rPr>
              <w:t>(4)</w:t>
            </w:r>
          </w:p>
        </w:tc>
      </w:tr>
      <w:tr w:rsidR="00EE75A6" w:rsidRPr="00E1479C" w14:paraId="6A6F42CF" w14:textId="77777777" w:rsidTr="005B7FF3">
        <w:trPr>
          <w:trHeight w:val="427"/>
        </w:trPr>
        <w:tc>
          <w:tcPr>
            <w:tcW w:w="2358" w:type="dxa"/>
          </w:tcPr>
          <w:p w14:paraId="11AA487F" w14:textId="77777777" w:rsidR="0005471C" w:rsidRPr="00E1479C" w:rsidRDefault="0005471C" w:rsidP="0005471C">
            <w:pPr>
              <w:rPr>
                <w:rFonts w:ascii="Times New Roman" w:hAnsi="Times New Roman" w:cs="Times New Roman"/>
              </w:rPr>
            </w:pPr>
            <w:r w:rsidRPr="00E1479C">
              <w:rPr>
                <w:rFonts w:ascii="Times New Roman" w:hAnsi="Times New Roman" w:cs="Times New Roman"/>
              </w:rPr>
              <w:lastRenderedPageBreak/>
              <w:t>NCT01453738</w:t>
            </w:r>
          </w:p>
          <w:p w14:paraId="68D10545" w14:textId="1086DE12" w:rsidR="00EE75A6" w:rsidRPr="00E1479C" w:rsidRDefault="00EE75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7" w:type="dxa"/>
          </w:tcPr>
          <w:p w14:paraId="35C42486" w14:textId="42A0A5E4" w:rsidR="00EE75A6" w:rsidRPr="00E1479C" w:rsidRDefault="0007551A">
            <w:pPr>
              <w:rPr>
                <w:rFonts w:ascii="Times New Roman" w:hAnsi="Times New Roman" w:cs="Times New Roman"/>
                <w:lang w:val="en-US"/>
              </w:rPr>
            </w:pP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D1748D" w:rsidRPr="00E1479C">
              <w:rPr>
                <w:rFonts w:ascii="Times New Roman" w:hAnsi="Times New Roman" w:cs="Times New Roman"/>
                <w:color w:val="212121"/>
              </w:rPr>
              <w:t>In the clinical study,</w:t>
            </w:r>
            <w:r w:rsidR="00D1748D" w:rsidRPr="00E1479C" w:rsidDel="00D1748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cell-based therapy </w:t>
            </w:r>
            <w:r w:rsidR="00D1748D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was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explored to address the repair of damaged articular cartilage in the knee joint.</w:t>
            </w:r>
          </w:p>
        </w:tc>
        <w:tc>
          <w:tcPr>
            <w:tcW w:w="6930" w:type="dxa"/>
          </w:tcPr>
          <w:p w14:paraId="5BE2A1B2" w14:textId="27E76FC1" w:rsidR="00D1748D" w:rsidRPr="00E1479C" w:rsidRDefault="00D1748D" w:rsidP="005B7FF3">
            <w:pPr>
              <w:pStyle w:val="NormalWeb"/>
              <w:shd w:val="clear" w:color="auto" w:fill="FFFFFF"/>
              <w:ind w:left="250"/>
              <w:rPr>
                <w:color w:val="212121"/>
                <w:sz w:val="22"/>
                <w:szCs w:val="22"/>
              </w:rPr>
            </w:pPr>
            <w:r w:rsidRPr="00E1479C">
              <w:rPr>
                <w:color w:val="212121"/>
                <w:sz w:val="22"/>
                <w:szCs w:val="22"/>
              </w:rPr>
              <w:t xml:space="preserve">1. </w:t>
            </w:r>
            <w:r w:rsidR="0007551A" w:rsidRPr="00E1479C">
              <w:rPr>
                <w:color w:val="212121"/>
                <w:sz w:val="22"/>
                <w:szCs w:val="22"/>
              </w:rPr>
              <w:t xml:space="preserve">IA administration of </w:t>
            </w:r>
            <w:proofErr w:type="spellStart"/>
            <w:r w:rsidR="0007551A" w:rsidRPr="00E1479C">
              <w:rPr>
                <w:color w:val="212121"/>
                <w:sz w:val="22"/>
                <w:szCs w:val="22"/>
              </w:rPr>
              <w:t>Stempeucel</w:t>
            </w:r>
            <w:proofErr w:type="spellEnd"/>
            <w:r w:rsidR="0007551A" w:rsidRPr="00E1479C">
              <w:rPr>
                <w:color w:val="212121"/>
                <w:sz w:val="22"/>
                <w:szCs w:val="22"/>
              </w:rPr>
              <w:t>® was safe, and a trend towards improvement was seen in the 25-million-cell dose group in all subjective parameters (VAS, ICOAP, and</w:t>
            </w:r>
            <w:r w:rsidR="005B7FF3">
              <w:rPr>
                <w:color w:val="212121"/>
                <w:sz w:val="22"/>
                <w:szCs w:val="22"/>
              </w:rPr>
              <w:t xml:space="preserve"> </w:t>
            </w:r>
            <w:r w:rsidR="0007551A" w:rsidRPr="00E1479C">
              <w:rPr>
                <w:color w:val="212121"/>
                <w:sz w:val="22"/>
                <w:szCs w:val="22"/>
              </w:rPr>
              <w:t>WOMAC-OA scores</w:t>
            </w:r>
            <w:r w:rsidRPr="00E1479C">
              <w:rPr>
                <w:color w:val="212121"/>
                <w:sz w:val="22"/>
                <w:szCs w:val="22"/>
              </w:rPr>
              <w:t xml:space="preserve">); however, </w:t>
            </w:r>
            <w:r w:rsidR="0007551A" w:rsidRPr="00E1479C">
              <w:rPr>
                <w:color w:val="212121"/>
                <w:sz w:val="22"/>
                <w:szCs w:val="22"/>
              </w:rPr>
              <w:t xml:space="preserve">this was not statistically significant when compared to placebo. </w:t>
            </w:r>
          </w:p>
          <w:p w14:paraId="3BE18B4C" w14:textId="263CE8E7" w:rsidR="0007551A" w:rsidRPr="00E1479C" w:rsidRDefault="00D1748D" w:rsidP="005B7FF3">
            <w:pPr>
              <w:pStyle w:val="NormalWeb"/>
              <w:shd w:val="clear" w:color="auto" w:fill="FFFFFF"/>
              <w:ind w:left="250"/>
              <w:rPr>
                <w:color w:val="212121"/>
                <w:sz w:val="22"/>
                <w:szCs w:val="22"/>
              </w:rPr>
            </w:pPr>
            <w:r w:rsidRPr="00E1479C">
              <w:rPr>
                <w:color w:val="212121"/>
                <w:sz w:val="22"/>
                <w:szCs w:val="22"/>
              </w:rPr>
              <w:t xml:space="preserve">2. </w:t>
            </w:r>
            <w:r w:rsidR="0007551A" w:rsidRPr="00E1479C">
              <w:rPr>
                <w:color w:val="212121"/>
                <w:sz w:val="22"/>
                <w:szCs w:val="22"/>
              </w:rPr>
              <w:t xml:space="preserve">Adverse events were predominant in the higher dose groups (50, 75, and 150 million cells). Knee pain and swelling were the most common adverse events. The whole-organ magnetic resonance imaging score of the knee did not reveal any difference from baseline </w:t>
            </w:r>
            <w:r w:rsidRPr="00E1479C">
              <w:rPr>
                <w:color w:val="212121"/>
                <w:sz w:val="22"/>
                <w:szCs w:val="22"/>
              </w:rPr>
              <w:t xml:space="preserve">or </w:t>
            </w:r>
            <w:r w:rsidR="0007551A" w:rsidRPr="00E1479C">
              <w:rPr>
                <w:color w:val="212121"/>
                <w:sz w:val="22"/>
                <w:szCs w:val="22"/>
              </w:rPr>
              <w:t>the placebo group.</w:t>
            </w:r>
          </w:p>
          <w:p w14:paraId="56A9BA6D" w14:textId="09BFA41D" w:rsidR="0007551A" w:rsidRPr="00E1479C" w:rsidRDefault="0007551A" w:rsidP="005B7FF3">
            <w:pPr>
              <w:pStyle w:val="NormalWeb"/>
              <w:shd w:val="clear" w:color="auto" w:fill="FFFFFF"/>
              <w:ind w:left="250"/>
              <w:rPr>
                <w:color w:val="212121"/>
                <w:sz w:val="22"/>
                <w:szCs w:val="22"/>
              </w:rPr>
            </w:pPr>
            <w:r w:rsidRPr="00E1479C">
              <w:rPr>
                <w:rStyle w:val="Strong"/>
                <w:color w:val="212121"/>
                <w:sz w:val="22"/>
                <w:szCs w:val="22"/>
              </w:rPr>
              <w:t>Conclusion: </w:t>
            </w:r>
            <w:r w:rsidRPr="00E1479C">
              <w:rPr>
                <w:color w:val="212121"/>
                <w:sz w:val="22"/>
                <w:szCs w:val="22"/>
              </w:rPr>
              <w:t xml:space="preserve">Intra-articular administration of </w:t>
            </w:r>
            <w:proofErr w:type="spellStart"/>
            <w:r w:rsidRPr="00E1479C">
              <w:rPr>
                <w:color w:val="212121"/>
                <w:sz w:val="22"/>
                <w:szCs w:val="22"/>
              </w:rPr>
              <w:t>Stempeucel</w:t>
            </w:r>
            <w:proofErr w:type="spellEnd"/>
            <w:r w:rsidRPr="00E1479C">
              <w:rPr>
                <w:color w:val="212121"/>
                <w:sz w:val="22"/>
                <w:szCs w:val="22"/>
              </w:rPr>
              <w:t xml:space="preserve">® is safe. A twenty-five-million-cell dose may be the most effective among the doses tested for pain reduction. Clinical studies with a larger patient population are required to demonstrate robust therapeutic efficacy of </w:t>
            </w:r>
            <w:proofErr w:type="spellStart"/>
            <w:r w:rsidRPr="00E1479C">
              <w:rPr>
                <w:color w:val="212121"/>
                <w:sz w:val="22"/>
                <w:szCs w:val="22"/>
              </w:rPr>
              <w:t>Stempeucel</w:t>
            </w:r>
            <w:proofErr w:type="spellEnd"/>
            <w:r w:rsidRPr="00E1479C">
              <w:rPr>
                <w:color w:val="212121"/>
                <w:sz w:val="22"/>
                <w:szCs w:val="22"/>
              </w:rPr>
              <w:t>® in OA.</w:t>
            </w:r>
          </w:p>
          <w:p w14:paraId="40B9F734" w14:textId="77777777" w:rsidR="00EE75A6" w:rsidRPr="00E1479C" w:rsidRDefault="00EE75A6" w:rsidP="005B7FF3">
            <w:pPr>
              <w:ind w:left="25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14:paraId="394D6D84" w14:textId="108F129A" w:rsidR="00EE75A6" w:rsidRPr="00E1479C" w:rsidRDefault="00F44F48">
            <w:pPr>
              <w:rPr>
                <w:rFonts w:ascii="Times New Roman" w:hAnsi="Times New Roman" w:cs="Times New Roman"/>
                <w:lang w:val="en-US"/>
              </w:rPr>
            </w:pPr>
            <w:r w:rsidRPr="00F44F48">
              <w:rPr>
                <w:rFonts w:ascii="Times New Roman" w:hAnsi="Times New Roman" w:cs="Times New Roman"/>
              </w:rPr>
              <w:t>(5)</w:t>
            </w:r>
          </w:p>
        </w:tc>
      </w:tr>
      <w:tr w:rsidR="00EE75A6" w:rsidRPr="00E1479C" w14:paraId="7C240D0E" w14:textId="77777777" w:rsidTr="005B7FF3">
        <w:tc>
          <w:tcPr>
            <w:tcW w:w="2358" w:type="dxa"/>
          </w:tcPr>
          <w:p w14:paraId="38811E97" w14:textId="77777777" w:rsidR="00A8349E" w:rsidRPr="00F44F48" w:rsidRDefault="00A8349E" w:rsidP="00A8349E">
            <w:pPr>
              <w:rPr>
                <w:rFonts w:ascii="Times New Roman" w:hAnsi="Times New Roman" w:cs="Times New Roman"/>
                <w:bCs/>
              </w:rPr>
            </w:pPr>
            <w:r w:rsidRPr="00F44F48">
              <w:rPr>
                <w:rFonts w:ascii="Times New Roman" w:hAnsi="Times New Roman" w:cs="Times New Roman"/>
                <w:bCs/>
              </w:rPr>
              <w:t>ID No: CTRI/2008/091/000232</w:t>
            </w:r>
          </w:p>
          <w:p w14:paraId="1FDE707D" w14:textId="77777777" w:rsidR="00EE75A6" w:rsidRPr="00E1479C" w:rsidRDefault="00EE75A6" w:rsidP="00A834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7" w:type="dxa"/>
          </w:tcPr>
          <w:p w14:paraId="338E3C09" w14:textId="05B99DFF" w:rsidR="00EE75A6" w:rsidRPr="00E1479C" w:rsidRDefault="00F54608">
            <w:pPr>
              <w:rPr>
                <w:rFonts w:ascii="Times New Roman" w:hAnsi="Times New Roman" w:cs="Times New Roman"/>
                <w:lang w:val="en-US"/>
              </w:rPr>
            </w:pP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Acute myocardial infarction (AMI) </w:t>
            </w:r>
            <w:r w:rsidR="008003E9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can result in 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reduced left ventricular ejection fraction (LVEF), which is a major determinant of short and long term morbidity and mortality. This phase III prospective, open</w:t>
            </w:r>
            <w:r w:rsidR="008003E9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-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labelled, randomized</w:t>
            </w:r>
            <w:r w:rsidR="008003E9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multicentric trial was undertaken to evaluate the efficacy </w:t>
            </w:r>
            <w:r w:rsidR="008003E9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of autologous mononuclear cells (MNC) in 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improving LVEF over a period of six months</w:t>
            </w:r>
            <w:r w:rsidR="008003E9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A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predefined dose of 5-10 × 10 [8] </w:t>
            </w:r>
            <w:r w:rsidR="008003E9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cells were injected 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by </w:t>
            </w:r>
            <w:r w:rsidR="008003E9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the 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intra-coronary route in patients </w:t>
            </w:r>
            <w:r w:rsidR="008003E9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at 1-3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weeks 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 xml:space="preserve">post </w:t>
            </w:r>
            <w:r w:rsidR="008003E9"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STE</w:t>
            </w:r>
            <w:r w:rsidRPr="00E147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MI, in addition to standard medical therapy.</w:t>
            </w:r>
          </w:p>
        </w:tc>
        <w:tc>
          <w:tcPr>
            <w:tcW w:w="6930" w:type="dxa"/>
          </w:tcPr>
          <w:p w14:paraId="151E5585" w14:textId="553F34B7" w:rsidR="00BD203A" w:rsidRPr="00E1479C" w:rsidRDefault="00BD203A" w:rsidP="005B7FF3">
            <w:pPr>
              <w:pStyle w:val="NormalWeb"/>
              <w:shd w:val="clear" w:color="auto" w:fill="FFFFFF"/>
              <w:ind w:left="250"/>
              <w:rPr>
                <w:color w:val="212121"/>
                <w:sz w:val="22"/>
                <w:szCs w:val="22"/>
              </w:rPr>
            </w:pPr>
            <w:r w:rsidRPr="00E1479C">
              <w:rPr>
                <w:color w:val="212121"/>
                <w:sz w:val="22"/>
                <w:szCs w:val="22"/>
              </w:rPr>
              <w:lastRenderedPageBreak/>
              <w:t xml:space="preserve">1. </w:t>
            </w:r>
            <w:r w:rsidRPr="00E1479C">
              <w:rPr>
                <w:rStyle w:val="Strong"/>
                <w:color w:val="212121"/>
                <w:sz w:val="22"/>
                <w:szCs w:val="22"/>
              </w:rPr>
              <w:t>I</w:t>
            </w:r>
            <w:r w:rsidR="00F54608" w:rsidRPr="00E1479C">
              <w:rPr>
                <w:color w:val="212121"/>
                <w:sz w:val="22"/>
                <w:szCs w:val="22"/>
              </w:rPr>
              <w:t xml:space="preserve">ntention-to-treat analysis </w:t>
            </w:r>
            <w:r w:rsidRPr="00E1479C">
              <w:rPr>
                <w:color w:val="212121"/>
                <w:sz w:val="22"/>
                <w:szCs w:val="22"/>
              </w:rPr>
              <w:t xml:space="preserve">showed no positive impact of </w:t>
            </w:r>
            <w:r w:rsidR="00F54608" w:rsidRPr="00E1479C">
              <w:rPr>
                <w:color w:val="212121"/>
                <w:sz w:val="22"/>
                <w:szCs w:val="22"/>
              </w:rPr>
              <w:t xml:space="preserve">MNCs </w:t>
            </w:r>
            <w:r w:rsidRPr="00E1479C">
              <w:rPr>
                <w:color w:val="212121"/>
                <w:sz w:val="22"/>
                <w:szCs w:val="22"/>
              </w:rPr>
              <w:t xml:space="preserve">infusion on </w:t>
            </w:r>
            <w:r w:rsidR="00F54608" w:rsidRPr="00E1479C">
              <w:rPr>
                <w:color w:val="212121"/>
                <w:sz w:val="22"/>
                <w:szCs w:val="22"/>
              </w:rPr>
              <w:t xml:space="preserve">LVEF improvement of ≥ 5 per cent. </w:t>
            </w:r>
          </w:p>
          <w:p w14:paraId="7C17DB67" w14:textId="57253D55" w:rsidR="00BD203A" w:rsidRPr="00E1479C" w:rsidRDefault="00BD203A" w:rsidP="005B7FF3">
            <w:pPr>
              <w:pStyle w:val="NormalWeb"/>
              <w:shd w:val="clear" w:color="auto" w:fill="FFFFFF"/>
              <w:ind w:left="250"/>
              <w:rPr>
                <w:color w:val="212121"/>
                <w:sz w:val="22"/>
                <w:szCs w:val="22"/>
              </w:rPr>
            </w:pPr>
            <w:r w:rsidRPr="00E1479C">
              <w:rPr>
                <w:color w:val="212121"/>
                <w:sz w:val="22"/>
                <w:szCs w:val="22"/>
              </w:rPr>
              <w:t xml:space="preserve">2. </w:t>
            </w:r>
            <w:r w:rsidR="00F54608" w:rsidRPr="00E1479C">
              <w:rPr>
                <w:color w:val="212121"/>
                <w:sz w:val="22"/>
                <w:szCs w:val="22"/>
              </w:rPr>
              <w:t>The improvement in LVEF after six months was 5.17 ± 8.90</w:t>
            </w:r>
            <w:r w:rsidRPr="00E1479C">
              <w:rPr>
                <w:color w:val="212121"/>
                <w:sz w:val="22"/>
                <w:szCs w:val="22"/>
              </w:rPr>
              <w:t>%</w:t>
            </w:r>
            <w:r w:rsidR="00F54608" w:rsidRPr="00E1479C">
              <w:rPr>
                <w:color w:val="212121"/>
                <w:sz w:val="22"/>
                <w:szCs w:val="22"/>
              </w:rPr>
              <w:t xml:space="preserve"> in non</w:t>
            </w:r>
            <w:r w:rsidRPr="00E1479C">
              <w:rPr>
                <w:color w:val="212121"/>
                <w:sz w:val="22"/>
                <w:szCs w:val="22"/>
              </w:rPr>
              <w:t>-</w:t>
            </w:r>
            <w:r w:rsidR="00F54608" w:rsidRPr="00E1479C">
              <w:rPr>
                <w:color w:val="212121"/>
                <w:sz w:val="22"/>
                <w:szCs w:val="22"/>
              </w:rPr>
              <w:t xml:space="preserve">SCT group and 4.82 ± 10.32 per cent in SCT group. </w:t>
            </w:r>
          </w:p>
          <w:p w14:paraId="06216B39" w14:textId="54643819" w:rsidR="00BD203A" w:rsidRPr="00E1479C" w:rsidRDefault="00BD203A" w:rsidP="005B7FF3">
            <w:pPr>
              <w:pStyle w:val="NormalWeb"/>
              <w:shd w:val="clear" w:color="auto" w:fill="FFFFFF"/>
              <w:ind w:left="250"/>
              <w:rPr>
                <w:color w:val="212121"/>
                <w:sz w:val="22"/>
                <w:szCs w:val="22"/>
              </w:rPr>
            </w:pPr>
            <w:r w:rsidRPr="00E1479C">
              <w:rPr>
                <w:color w:val="212121"/>
                <w:sz w:val="22"/>
                <w:szCs w:val="22"/>
              </w:rPr>
              <w:t xml:space="preserve">3. </w:t>
            </w:r>
            <w:r w:rsidR="00F54608" w:rsidRPr="00E1479C">
              <w:rPr>
                <w:color w:val="212121"/>
                <w:sz w:val="22"/>
                <w:szCs w:val="22"/>
              </w:rPr>
              <w:t xml:space="preserve">The adverse effects were comparable </w:t>
            </w:r>
            <w:r w:rsidRPr="00E1479C">
              <w:rPr>
                <w:color w:val="212121"/>
                <w:sz w:val="22"/>
                <w:szCs w:val="22"/>
              </w:rPr>
              <w:t>between both</w:t>
            </w:r>
            <w:r w:rsidR="00F54608" w:rsidRPr="00E1479C">
              <w:rPr>
                <w:color w:val="212121"/>
                <w:sz w:val="22"/>
                <w:szCs w:val="22"/>
              </w:rPr>
              <w:t xml:space="preserve"> groups. </w:t>
            </w:r>
            <w:r w:rsidRPr="00E1479C">
              <w:rPr>
                <w:color w:val="212121"/>
                <w:sz w:val="22"/>
                <w:szCs w:val="22"/>
              </w:rPr>
              <w:t>P</w:t>
            </w:r>
            <w:r w:rsidR="00F54608" w:rsidRPr="00E1479C">
              <w:rPr>
                <w:color w:val="212121"/>
                <w:sz w:val="22"/>
                <w:szCs w:val="22"/>
              </w:rPr>
              <w:t>ost</w:t>
            </w:r>
            <w:r w:rsidRPr="00E1479C">
              <w:rPr>
                <w:color w:val="212121"/>
                <w:sz w:val="22"/>
                <w:szCs w:val="22"/>
              </w:rPr>
              <w:t>-</w:t>
            </w:r>
            <w:r w:rsidR="00F54608" w:rsidRPr="00E1479C">
              <w:rPr>
                <w:color w:val="212121"/>
                <w:sz w:val="22"/>
                <w:szCs w:val="22"/>
              </w:rPr>
              <w:t xml:space="preserve">hoc analysis </w:t>
            </w:r>
            <w:r w:rsidRPr="00E1479C">
              <w:rPr>
                <w:color w:val="212121"/>
                <w:sz w:val="22"/>
                <w:szCs w:val="22"/>
              </w:rPr>
              <w:t>showed</w:t>
            </w:r>
            <w:r w:rsidR="00F54608" w:rsidRPr="00E1479C">
              <w:rPr>
                <w:color w:val="212121"/>
                <w:sz w:val="22"/>
                <w:szCs w:val="22"/>
              </w:rPr>
              <w:t xml:space="preserve"> that cell infused </w:t>
            </w:r>
            <w:r w:rsidRPr="00E1479C">
              <w:rPr>
                <w:color w:val="212121"/>
                <w:sz w:val="22"/>
                <w:szCs w:val="22"/>
              </w:rPr>
              <w:t xml:space="preserve">at </w:t>
            </w:r>
            <w:r w:rsidR="00F54608" w:rsidRPr="00E1479C">
              <w:rPr>
                <w:color w:val="212121"/>
                <w:sz w:val="22"/>
                <w:szCs w:val="22"/>
              </w:rPr>
              <w:t>the dose of ≥ 5 X 10 [8] (n=71)</w:t>
            </w:r>
            <w:r w:rsidRPr="00E1479C">
              <w:rPr>
                <w:color w:val="212121"/>
                <w:sz w:val="22"/>
                <w:szCs w:val="22"/>
              </w:rPr>
              <w:t xml:space="preserve"> had a positive impact</w:t>
            </w:r>
            <w:r w:rsidR="00F54608" w:rsidRPr="00E1479C">
              <w:rPr>
                <w:color w:val="212121"/>
                <w:sz w:val="22"/>
                <w:szCs w:val="22"/>
              </w:rPr>
              <w:t xml:space="preserve">. </w:t>
            </w:r>
          </w:p>
          <w:p w14:paraId="2CABDB90" w14:textId="579B9148" w:rsidR="00F54608" w:rsidRPr="00E1479C" w:rsidRDefault="00BD203A" w:rsidP="005B7FF3">
            <w:pPr>
              <w:pStyle w:val="NormalWeb"/>
              <w:shd w:val="clear" w:color="auto" w:fill="FFFFFF"/>
              <w:ind w:left="250"/>
              <w:rPr>
                <w:color w:val="212121"/>
                <w:sz w:val="22"/>
                <w:szCs w:val="22"/>
              </w:rPr>
            </w:pPr>
            <w:r w:rsidRPr="00E1479C">
              <w:rPr>
                <w:color w:val="212121"/>
                <w:sz w:val="22"/>
                <w:szCs w:val="22"/>
              </w:rPr>
              <w:t xml:space="preserve">4. </w:t>
            </w:r>
            <w:r w:rsidR="00F54608" w:rsidRPr="00E1479C">
              <w:rPr>
                <w:color w:val="212121"/>
                <w:sz w:val="22"/>
                <w:szCs w:val="22"/>
              </w:rPr>
              <w:t xml:space="preserve">This benefit was noted </w:t>
            </w:r>
            <w:proofErr w:type="spellStart"/>
            <w:r w:rsidR="00F54608" w:rsidRPr="00E1479C">
              <w:rPr>
                <w:color w:val="212121"/>
                <w:sz w:val="22"/>
                <w:szCs w:val="22"/>
              </w:rPr>
              <w:t>upto</w:t>
            </w:r>
            <w:proofErr w:type="spellEnd"/>
            <w:r w:rsidR="00F54608" w:rsidRPr="00E1479C">
              <w:rPr>
                <w:color w:val="212121"/>
                <w:sz w:val="22"/>
                <w:szCs w:val="22"/>
              </w:rPr>
              <w:t xml:space="preserve"> three weeks post AMI. There were 38 trial deviates in the SCT group which was a limitation of the study.</w:t>
            </w:r>
          </w:p>
          <w:p w14:paraId="5812E566" w14:textId="7BFF7C9A" w:rsidR="00F54608" w:rsidRPr="00E1479C" w:rsidRDefault="00F54608" w:rsidP="005B7FF3">
            <w:pPr>
              <w:pStyle w:val="NormalWeb"/>
              <w:shd w:val="clear" w:color="auto" w:fill="FFFFFF"/>
              <w:ind w:left="250"/>
              <w:rPr>
                <w:color w:val="212121"/>
                <w:sz w:val="22"/>
                <w:szCs w:val="22"/>
              </w:rPr>
            </w:pPr>
            <w:r w:rsidRPr="00E1479C">
              <w:rPr>
                <w:rStyle w:val="Strong"/>
                <w:color w:val="212121"/>
                <w:sz w:val="22"/>
                <w:szCs w:val="22"/>
              </w:rPr>
              <w:t>Interpretation &amp; conclusions</w:t>
            </w:r>
            <w:r w:rsidRPr="005B7FF3">
              <w:rPr>
                <w:rStyle w:val="Strong"/>
                <w:b w:val="0"/>
                <w:bCs w:val="0"/>
                <w:color w:val="212121"/>
                <w:sz w:val="22"/>
                <w:szCs w:val="22"/>
              </w:rPr>
              <w:t>: </w:t>
            </w:r>
            <w:r w:rsidR="00E1479C" w:rsidRPr="005B7FF3">
              <w:rPr>
                <w:rStyle w:val="Strong"/>
                <w:b w:val="0"/>
                <w:bCs w:val="0"/>
                <w:color w:val="212121"/>
                <w:sz w:val="22"/>
                <w:szCs w:val="22"/>
              </w:rPr>
              <w:t xml:space="preserve">Even though </w:t>
            </w:r>
            <w:r w:rsidR="00E1479C" w:rsidRPr="005B7FF3">
              <w:rPr>
                <w:bCs/>
                <w:color w:val="212121"/>
                <w:sz w:val="22"/>
                <w:szCs w:val="22"/>
              </w:rPr>
              <w:t>th</w:t>
            </w:r>
            <w:r w:rsidR="00E1479C" w:rsidRPr="00E1479C">
              <w:rPr>
                <w:color w:val="212121"/>
                <w:sz w:val="22"/>
                <w:szCs w:val="22"/>
              </w:rPr>
              <w:t>e procedure was safe</w:t>
            </w:r>
            <w:r w:rsidR="00E1479C">
              <w:rPr>
                <w:color w:val="212121"/>
                <w:sz w:val="22"/>
                <w:szCs w:val="22"/>
              </w:rPr>
              <w:t>,</w:t>
            </w:r>
            <w:r w:rsidR="00E1479C" w:rsidRPr="00E1479C">
              <w:rPr>
                <w:color w:val="212121"/>
                <w:sz w:val="22"/>
                <w:szCs w:val="22"/>
              </w:rPr>
              <w:t xml:space="preserve"> </w:t>
            </w:r>
            <w:r w:rsidR="00E1479C">
              <w:rPr>
                <w:color w:val="212121"/>
                <w:sz w:val="22"/>
                <w:szCs w:val="22"/>
              </w:rPr>
              <w:t>i</w:t>
            </w:r>
            <w:r w:rsidR="00E1479C" w:rsidRPr="00E1479C">
              <w:rPr>
                <w:color w:val="212121"/>
                <w:sz w:val="22"/>
                <w:szCs w:val="22"/>
              </w:rPr>
              <w:t xml:space="preserve">nfusion </w:t>
            </w:r>
            <w:r w:rsidRPr="00E1479C">
              <w:rPr>
                <w:color w:val="212121"/>
                <w:sz w:val="22"/>
                <w:szCs w:val="22"/>
              </w:rPr>
              <w:t xml:space="preserve">of stem cells was found to have no benefit in </w:t>
            </w:r>
            <w:r w:rsidR="006449D5" w:rsidRPr="00E1479C">
              <w:rPr>
                <w:color w:val="212121"/>
                <w:sz w:val="22"/>
                <w:szCs w:val="22"/>
              </w:rPr>
              <w:t>STE</w:t>
            </w:r>
            <w:r w:rsidRPr="00E1479C">
              <w:rPr>
                <w:color w:val="212121"/>
                <w:sz w:val="22"/>
                <w:szCs w:val="22"/>
              </w:rPr>
              <w:t xml:space="preserve">MI. A possible benefit was seen when </w:t>
            </w:r>
            <w:r w:rsidR="00E1479C">
              <w:rPr>
                <w:color w:val="212121"/>
                <w:sz w:val="22"/>
                <w:szCs w:val="22"/>
              </w:rPr>
              <w:t>a</w:t>
            </w:r>
            <w:r w:rsidR="00E1479C" w:rsidRPr="00E1479C">
              <w:rPr>
                <w:color w:val="212121"/>
                <w:sz w:val="22"/>
                <w:szCs w:val="22"/>
              </w:rPr>
              <w:t xml:space="preserve"> </w:t>
            </w:r>
            <w:r w:rsidRPr="00E1479C">
              <w:rPr>
                <w:color w:val="212121"/>
                <w:sz w:val="22"/>
                <w:szCs w:val="22"/>
              </w:rPr>
              <w:t xml:space="preserve">predefined cell dose was administered </w:t>
            </w:r>
            <w:r w:rsidR="00E1479C">
              <w:rPr>
                <w:color w:val="212121"/>
                <w:sz w:val="22"/>
                <w:szCs w:val="22"/>
              </w:rPr>
              <w:lastRenderedPageBreak/>
              <w:t>and this effect</w:t>
            </w:r>
            <w:r w:rsidRPr="00E1479C">
              <w:rPr>
                <w:color w:val="212121"/>
                <w:sz w:val="22"/>
                <w:szCs w:val="22"/>
              </w:rPr>
              <w:t xml:space="preserve"> </w:t>
            </w:r>
            <w:r w:rsidR="00E1479C">
              <w:rPr>
                <w:color w:val="212121"/>
                <w:sz w:val="22"/>
                <w:szCs w:val="22"/>
              </w:rPr>
              <w:t xml:space="preserve">was </w:t>
            </w:r>
            <w:r w:rsidRPr="00E1479C">
              <w:rPr>
                <w:color w:val="212121"/>
                <w:sz w:val="22"/>
                <w:szCs w:val="22"/>
              </w:rPr>
              <w:t>noted up</w:t>
            </w:r>
            <w:r w:rsidR="00E1479C">
              <w:rPr>
                <w:color w:val="212121"/>
                <w:sz w:val="22"/>
                <w:szCs w:val="22"/>
              </w:rPr>
              <w:t xml:space="preserve"> </w:t>
            </w:r>
            <w:r w:rsidRPr="00E1479C">
              <w:rPr>
                <w:color w:val="212121"/>
                <w:sz w:val="22"/>
                <w:szCs w:val="22"/>
              </w:rPr>
              <w:t>to three weeks post AMI</w:t>
            </w:r>
            <w:r w:rsidR="00E1479C">
              <w:rPr>
                <w:color w:val="212121"/>
                <w:sz w:val="22"/>
                <w:szCs w:val="22"/>
              </w:rPr>
              <w:t xml:space="preserve">. However, </w:t>
            </w:r>
            <w:r w:rsidRPr="00E1479C">
              <w:rPr>
                <w:color w:val="212121"/>
                <w:sz w:val="22"/>
                <w:szCs w:val="22"/>
              </w:rPr>
              <w:t>this was not significant and needs confirmation by larger trials.</w:t>
            </w:r>
          </w:p>
          <w:p w14:paraId="72A1E9D3" w14:textId="77777777" w:rsidR="00EE75A6" w:rsidRPr="00E1479C" w:rsidRDefault="00EE75A6" w:rsidP="005B7FF3">
            <w:pPr>
              <w:ind w:left="25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14:paraId="48944B92" w14:textId="18781565" w:rsidR="00EE75A6" w:rsidRPr="00E1479C" w:rsidRDefault="00F44F48">
            <w:pPr>
              <w:rPr>
                <w:rFonts w:ascii="Times New Roman" w:hAnsi="Times New Roman" w:cs="Times New Roman"/>
                <w:lang w:val="en-US"/>
              </w:rPr>
            </w:pPr>
            <w:r w:rsidRPr="00F44F48">
              <w:rPr>
                <w:rFonts w:ascii="Times New Roman" w:hAnsi="Times New Roman" w:cs="Times New Roman"/>
                <w:lang w:val="en-US"/>
              </w:rPr>
              <w:lastRenderedPageBreak/>
              <w:t>http://ctri.nic.in/</w:t>
            </w:r>
          </w:p>
        </w:tc>
      </w:tr>
      <w:tr w:rsidR="00C00AE5" w:rsidRPr="00E1479C" w14:paraId="23FEA37C" w14:textId="77777777" w:rsidTr="005B7FF3">
        <w:tc>
          <w:tcPr>
            <w:tcW w:w="2358" w:type="dxa"/>
          </w:tcPr>
          <w:p w14:paraId="7A6F72EE" w14:textId="77777777" w:rsidR="0005471C" w:rsidRPr="00E1479C" w:rsidRDefault="0005471C" w:rsidP="0005471C">
            <w:pPr>
              <w:rPr>
                <w:rFonts w:ascii="Times New Roman" w:hAnsi="Times New Roman" w:cs="Times New Roman"/>
              </w:rPr>
            </w:pPr>
            <w:r w:rsidRPr="00E1479C">
              <w:rPr>
                <w:rFonts w:ascii="Times New Roman" w:hAnsi="Times New Roman" w:cs="Times New Roman"/>
              </w:rPr>
              <w:t>CTRI/2021/01/030327</w:t>
            </w:r>
          </w:p>
          <w:p w14:paraId="37370000" w14:textId="77777777" w:rsidR="0005471C" w:rsidRPr="00E1479C" w:rsidRDefault="0005471C" w:rsidP="00D879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7" w:type="dxa"/>
          </w:tcPr>
          <w:p w14:paraId="15805AA0" w14:textId="531FD92C" w:rsidR="00A042E1" w:rsidRPr="00E1479C" w:rsidRDefault="00A042E1" w:rsidP="00A042E1">
            <w:pPr>
              <w:rPr>
                <w:rFonts w:ascii="Times New Roman" w:hAnsi="Times New Roman" w:cs="Times New Roman"/>
              </w:rPr>
            </w:pPr>
            <w:r w:rsidRPr="00E1479C">
              <w:rPr>
                <w:rFonts w:ascii="Times New Roman" w:hAnsi="Times New Roman" w:cs="Times New Roman"/>
              </w:rPr>
              <w:t xml:space="preserve">This </w:t>
            </w:r>
            <w:r w:rsidR="00482CA5">
              <w:rPr>
                <w:rFonts w:ascii="Times New Roman" w:hAnsi="Times New Roman" w:cs="Times New Roman"/>
              </w:rPr>
              <w:t>was</w:t>
            </w:r>
            <w:r w:rsidRPr="00E1479C">
              <w:rPr>
                <w:rFonts w:ascii="Times New Roman" w:hAnsi="Times New Roman" w:cs="Times New Roman"/>
              </w:rPr>
              <w:t xml:space="preserve"> a single arm trial to explore the potential of bone marrow</w:t>
            </w:r>
            <w:r w:rsidR="00482CA5">
              <w:rPr>
                <w:rFonts w:ascii="Times New Roman" w:hAnsi="Times New Roman" w:cs="Times New Roman"/>
              </w:rPr>
              <w:t>-</w:t>
            </w:r>
            <w:r w:rsidRPr="00E1479C">
              <w:rPr>
                <w:rFonts w:ascii="Times New Roman" w:hAnsi="Times New Roman" w:cs="Times New Roman"/>
              </w:rPr>
              <w:t xml:space="preserve">derived mononuclear stem cells </w:t>
            </w:r>
            <w:r w:rsidR="00482CA5">
              <w:rPr>
                <w:rFonts w:ascii="Times New Roman" w:hAnsi="Times New Roman" w:cs="Times New Roman"/>
              </w:rPr>
              <w:t>in</w:t>
            </w:r>
            <w:r w:rsidR="00482CA5" w:rsidRPr="00E1479C">
              <w:rPr>
                <w:rFonts w:ascii="Times New Roman" w:hAnsi="Times New Roman" w:cs="Times New Roman"/>
              </w:rPr>
              <w:t xml:space="preserve"> improv</w:t>
            </w:r>
            <w:r w:rsidR="00482CA5">
              <w:rPr>
                <w:rFonts w:ascii="Times New Roman" w:hAnsi="Times New Roman" w:cs="Times New Roman"/>
              </w:rPr>
              <w:t>ing</w:t>
            </w:r>
            <w:r w:rsidR="00482CA5" w:rsidRPr="00E1479C">
              <w:rPr>
                <w:rFonts w:ascii="Times New Roman" w:hAnsi="Times New Roman" w:cs="Times New Roman"/>
              </w:rPr>
              <w:t xml:space="preserve"> </w:t>
            </w:r>
            <w:r w:rsidRPr="00E1479C">
              <w:rPr>
                <w:rFonts w:ascii="Times New Roman" w:hAnsi="Times New Roman" w:cs="Times New Roman"/>
              </w:rPr>
              <w:t xml:space="preserve">neurological deficits and muscle power in patients affected by poliomyelitis </w:t>
            </w:r>
            <w:r w:rsidR="00482CA5" w:rsidRPr="00E1479C">
              <w:rPr>
                <w:rFonts w:ascii="Times New Roman" w:hAnsi="Times New Roman" w:cs="Times New Roman"/>
              </w:rPr>
              <w:t>in India</w:t>
            </w:r>
            <w:r w:rsidRPr="00E1479C">
              <w:rPr>
                <w:rFonts w:ascii="Times New Roman" w:hAnsi="Times New Roman" w:cs="Times New Roman"/>
              </w:rPr>
              <w:t xml:space="preserve">. The pattern of neurological involvement and EMG changes </w:t>
            </w:r>
            <w:r w:rsidR="00482CA5">
              <w:rPr>
                <w:rFonts w:ascii="Times New Roman" w:hAnsi="Times New Roman" w:cs="Times New Roman"/>
              </w:rPr>
              <w:t>were evaluated</w:t>
            </w:r>
            <w:r w:rsidRPr="00E1479C">
              <w:rPr>
                <w:rFonts w:ascii="Times New Roman" w:hAnsi="Times New Roman" w:cs="Times New Roman"/>
              </w:rPr>
              <w:t xml:space="preserve"> in all. The primary outcome was EMG changes at 6 months. The secondary outcome was muscle charting and Physical handicap at 1-60 months. Significant improvement was </w:t>
            </w:r>
            <w:r w:rsidR="00482CA5">
              <w:rPr>
                <w:rFonts w:ascii="Times New Roman" w:hAnsi="Times New Roman" w:cs="Times New Roman"/>
              </w:rPr>
              <w:t xml:space="preserve">defined as </w:t>
            </w:r>
            <w:r w:rsidRPr="00E1479C">
              <w:rPr>
                <w:rFonts w:ascii="Times New Roman" w:hAnsi="Times New Roman" w:cs="Times New Roman"/>
              </w:rPr>
              <w:t>improve</w:t>
            </w:r>
            <w:r w:rsidR="00482CA5">
              <w:rPr>
                <w:rFonts w:ascii="Times New Roman" w:hAnsi="Times New Roman" w:cs="Times New Roman"/>
              </w:rPr>
              <w:t xml:space="preserve">ments in </w:t>
            </w:r>
            <w:r w:rsidRPr="00E1479C">
              <w:rPr>
                <w:rFonts w:ascii="Times New Roman" w:hAnsi="Times New Roman" w:cs="Times New Roman"/>
              </w:rPr>
              <w:t xml:space="preserve">PH, MC by &gt; 1 grade and </w:t>
            </w:r>
            <w:r w:rsidR="00482CA5">
              <w:rPr>
                <w:rFonts w:ascii="Times New Roman" w:hAnsi="Times New Roman" w:cs="Times New Roman"/>
              </w:rPr>
              <w:t xml:space="preserve">in </w:t>
            </w:r>
            <w:r w:rsidRPr="00E1479C">
              <w:rPr>
                <w:rFonts w:ascii="Times New Roman" w:hAnsi="Times New Roman" w:cs="Times New Roman"/>
              </w:rPr>
              <w:t>EMG/NCV studies.</w:t>
            </w:r>
          </w:p>
          <w:p w14:paraId="5407E096" w14:textId="77777777" w:rsidR="0005471C" w:rsidRPr="00E1479C" w:rsidRDefault="0005471C" w:rsidP="00D879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0" w:type="dxa"/>
          </w:tcPr>
          <w:p w14:paraId="46E8ED0D" w14:textId="0F1C9495" w:rsidR="00BF2A3D" w:rsidRDefault="00A042E1" w:rsidP="005B7FF3">
            <w:pPr>
              <w:pStyle w:val="ListParagraph"/>
              <w:numPr>
                <w:ilvl w:val="0"/>
                <w:numId w:val="3"/>
              </w:numPr>
              <w:ind w:left="340" w:hanging="270"/>
              <w:rPr>
                <w:rFonts w:ascii="Times New Roman" w:hAnsi="Times New Roman" w:cs="Times New Roman"/>
              </w:rPr>
            </w:pPr>
            <w:r w:rsidRPr="005B7FF3">
              <w:rPr>
                <w:rFonts w:ascii="Times New Roman" w:hAnsi="Times New Roman" w:cs="Times New Roman"/>
              </w:rPr>
              <w:t>Five patients (4 males)</w:t>
            </w:r>
            <w:r w:rsidR="00912C29" w:rsidRPr="005B7FF3">
              <w:rPr>
                <w:rFonts w:ascii="Times New Roman" w:hAnsi="Times New Roman" w:cs="Times New Roman"/>
              </w:rPr>
              <w:t>,</w:t>
            </w:r>
            <w:r w:rsidRPr="005B7FF3">
              <w:rPr>
                <w:rFonts w:ascii="Times New Roman" w:hAnsi="Times New Roman" w:cs="Times New Roman"/>
              </w:rPr>
              <w:t xml:space="preserve"> median age </w:t>
            </w:r>
            <w:r w:rsidR="00912C29" w:rsidRPr="005B7FF3">
              <w:rPr>
                <w:rFonts w:ascii="Times New Roman" w:hAnsi="Times New Roman" w:cs="Times New Roman"/>
              </w:rPr>
              <w:t xml:space="preserve"> </w:t>
            </w:r>
            <w:r w:rsidRPr="005B7FF3">
              <w:rPr>
                <w:rFonts w:ascii="Times New Roman" w:hAnsi="Times New Roman" w:cs="Times New Roman"/>
              </w:rPr>
              <w:t>23</w:t>
            </w:r>
            <w:r w:rsidR="00912C29" w:rsidRPr="005B7FF3">
              <w:rPr>
                <w:rFonts w:ascii="Times New Roman" w:hAnsi="Times New Roman" w:cs="Times New Roman"/>
              </w:rPr>
              <w:t xml:space="preserve"> years </w:t>
            </w:r>
            <w:r w:rsidRPr="005B7FF3">
              <w:rPr>
                <w:rFonts w:ascii="Times New Roman" w:hAnsi="Times New Roman" w:cs="Times New Roman"/>
              </w:rPr>
              <w:t>(</w:t>
            </w:r>
            <w:r w:rsidR="00912C29" w:rsidRPr="005B7FF3">
              <w:rPr>
                <w:rFonts w:ascii="Times New Roman" w:hAnsi="Times New Roman" w:cs="Times New Roman"/>
              </w:rPr>
              <w:t>range, 1</w:t>
            </w:r>
            <w:r w:rsidRPr="005B7FF3">
              <w:rPr>
                <w:rFonts w:ascii="Times New Roman" w:hAnsi="Times New Roman" w:cs="Times New Roman"/>
              </w:rPr>
              <w:t xml:space="preserve">6-25) were recruited. </w:t>
            </w:r>
          </w:p>
          <w:p w14:paraId="6A567E2B" w14:textId="148812BC" w:rsidR="00BF2A3D" w:rsidRDefault="00A042E1" w:rsidP="005B7FF3">
            <w:pPr>
              <w:pStyle w:val="ListParagraph"/>
              <w:numPr>
                <w:ilvl w:val="0"/>
                <w:numId w:val="3"/>
              </w:numPr>
              <w:ind w:left="340" w:hanging="270"/>
              <w:rPr>
                <w:rFonts w:ascii="Times New Roman" w:hAnsi="Times New Roman" w:cs="Times New Roman"/>
              </w:rPr>
            </w:pPr>
            <w:r w:rsidRPr="005B7FF3">
              <w:rPr>
                <w:rFonts w:ascii="Times New Roman" w:hAnsi="Times New Roman" w:cs="Times New Roman"/>
              </w:rPr>
              <w:t xml:space="preserve">P1 crawled with hand support. P2, P5 limped. P3, P4 had tilted pelvis and used </w:t>
            </w:r>
            <w:proofErr w:type="spellStart"/>
            <w:r w:rsidRPr="005B7FF3">
              <w:rPr>
                <w:rFonts w:ascii="Times New Roman" w:hAnsi="Times New Roman" w:cs="Times New Roman"/>
              </w:rPr>
              <w:t>calipers</w:t>
            </w:r>
            <w:proofErr w:type="spellEnd"/>
            <w:r w:rsidRPr="005B7FF3">
              <w:rPr>
                <w:rFonts w:ascii="Times New Roman" w:hAnsi="Times New Roman" w:cs="Times New Roman"/>
              </w:rPr>
              <w:t>. P5 used support. 2 had bilateral</w:t>
            </w:r>
            <w:r w:rsidR="00912C29" w:rsidRPr="005B7FF3">
              <w:rPr>
                <w:rFonts w:ascii="Times New Roman" w:hAnsi="Times New Roman" w:cs="Times New Roman"/>
              </w:rPr>
              <w:t xml:space="preserve"> involvement, 3</w:t>
            </w:r>
            <w:r w:rsidRPr="005B7FF3">
              <w:rPr>
                <w:rFonts w:ascii="Times New Roman" w:hAnsi="Times New Roman" w:cs="Times New Roman"/>
              </w:rPr>
              <w:t xml:space="preserve"> </w:t>
            </w:r>
            <w:r w:rsidR="00912C29" w:rsidRPr="005B7FF3">
              <w:rPr>
                <w:rFonts w:ascii="Times New Roman" w:hAnsi="Times New Roman" w:cs="Times New Roman"/>
              </w:rPr>
              <w:t xml:space="preserve">had </w:t>
            </w:r>
            <w:r w:rsidRPr="005B7FF3">
              <w:rPr>
                <w:rFonts w:ascii="Times New Roman" w:hAnsi="Times New Roman" w:cs="Times New Roman"/>
              </w:rPr>
              <w:t xml:space="preserve">left limb involvement. </w:t>
            </w:r>
          </w:p>
          <w:p w14:paraId="219FF6A0" w14:textId="79048132" w:rsidR="00A042E1" w:rsidRPr="005B7FF3" w:rsidRDefault="00A042E1" w:rsidP="005B7FF3">
            <w:pPr>
              <w:pStyle w:val="ListParagraph"/>
              <w:numPr>
                <w:ilvl w:val="0"/>
                <w:numId w:val="3"/>
              </w:numPr>
              <w:ind w:left="340" w:hanging="270"/>
              <w:rPr>
                <w:rFonts w:ascii="Times New Roman" w:hAnsi="Times New Roman" w:cs="Times New Roman"/>
              </w:rPr>
            </w:pPr>
            <w:r w:rsidRPr="005B7FF3">
              <w:rPr>
                <w:rFonts w:ascii="Times New Roman" w:hAnsi="Times New Roman" w:cs="Times New Roman"/>
              </w:rPr>
              <w:t xml:space="preserve">Median MNCs </w:t>
            </w:r>
            <w:r w:rsidR="00912C29" w:rsidRPr="005B7FF3">
              <w:rPr>
                <w:rFonts w:ascii="Times New Roman" w:hAnsi="Times New Roman" w:cs="Times New Roman"/>
              </w:rPr>
              <w:t xml:space="preserve">injected </w:t>
            </w:r>
            <w:r w:rsidRPr="005B7FF3">
              <w:rPr>
                <w:rFonts w:ascii="Times New Roman" w:hAnsi="Times New Roman" w:cs="Times New Roman"/>
              </w:rPr>
              <w:t xml:space="preserve">3 </w:t>
            </w:r>
            <w:r w:rsidR="00912C29" w:rsidRPr="005B7FF3">
              <w:rPr>
                <w:rFonts w:ascii="Times New Roman" w:hAnsi="Times New Roman" w:cs="Times New Roman"/>
              </w:rPr>
              <w:t xml:space="preserve">million cells </w:t>
            </w:r>
            <w:r w:rsidRPr="005B7FF3">
              <w:rPr>
                <w:rFonts w:ascii="Times New Roman" w:hAnsi="Times New Roman" w:cs="Times New Roman"/>
              </w:rPr>
              <w:t>(</w:t>
            </w:r>
            <w:r w:rsidR="00912C29" w:rsidRPr="005B7FF3">
              <w:rPr>
                <w:rFonts w:ascii="Times New Roman" w:hAnsi="Times New Roman" w:cs="Times New Roman"/>
              </w:rPr>
              <w:t xml:space="preserve">range, </w:t>
            </w:r>
            <w:r w:rsidRPr="005B7FF3">
              <w:rPr>
                <w:rFonts w:ascii="Times New Roman" w:hAnsi="Times New Roman" w:cs="Times New Roman"/>
              </w:rPr>
              <w:t>1.44-68). At follow up of 6 months, all (n=5) had significant improvement in PH,</w:t>
            </w:r>
            <w:r w:rsidR="00912C29" w:rsidRPr="005B7FF3">
              <w:rPr>
                <w:rFonts w:ascii="Times New Roman" w:hAnsi="Times New Roman" w:cs="Times New Roman"/>
              </w:rPr>
              <w:t xml:space="preserve"> </w:t>
            </w:r>
            <w:r w:rsidRPr="005B7FF3">
              <w:rPr>
                <w:rFonts w:ascii="Times New Roman" w:hAnsi="Times New Roman" w:cs="Times New Roman"/>
              </w:rPr>
              <w:t xml:space="preserve">MC; EMG/NCV. PH, MC improved </w:t>
            </w:r>
            <w:r w:rsidR="00912C29" w:rsidRPr="005B7FF3">
              <w:rPr>
                <w:rFonts w:ascii="Times New Roman" w:hAnsi="Times New Roman" w:cs="Times New Roman"/>
              </w:rPr>
              <w:t>by</w:t>
            </w:r>
            <w:r w:rsidRPr="005B7FF3">
              <w:rPr>
                <w:rFonts w:ascii="Times New Roman" w:hAnsi="Times New Roman" w:cs="Times New Roman"/>
              </w:rPr>
              <w:t xml:space="preserve"> 3 months follow up and remained consistent till 60 months </w:t>
            </w:r>
            <w:r w:rsidR="00912C29" w:rsidRPr="005B7FF3">
              <w:rPr>
                <w:rFonts w:ascii="Times New Roman" w:hAnsi="Times New Roman" w:cs="Times New Roman"/>
              </w:rPr>
              <w:t>after injection</w:t>
            </w:r>
            <w:r w:rsidRPr="005B7FF3">
              <w:rPr>
                <w:rFonts w:ascii="Times New Roman" w:hAnsi="Times New Roman" w:cs="Times New Roman"/>
              </w:rPr>
              <w:t xml:space="preserve">. </w:t>
            </w:r>
          </w:p>
          <w:p w14:paraId="10C51558" w14:textId="77777777" w:rsidR="00A042E1" w:rsidRPr="00E1479C" w:rsidRDefault="00A042E1" w:rsidP="005B7FF3">
            <w:pPr>
              <w:ind w:left="250" w:hanging="360"/>
              <w:rPr>
                <w:rFonts w:ascii="Times New Roman" w:hAnsi="Times New Roman" w:cs="Times New Roman"/>
              </w:rPr>
            </w:pPr>
          </w:p>
          <w:p w14:paraId="73D093CD" w14:textId="3CDD62B6" w:rsidR="00A042E1" w:rsidRPr="00E1479C" w:rsidRDefault="00A042E1" w:rsidP="005B7FF3">
            <w:pPr>
              <w:ind w:left="250" w:hanging="180"/>
              <w:rPr>
                <w:rFonts w:ascii="Times New Roman" w:hAnsi="Times New Roman" w:cs="Times New Roman"/>
              </w:rPr>
            </w:pPr>
            <w:r w:rsidRPr="00E1479C">
              <w:rPr>
                <w:rFonts w:ascii="Times New Roman" w:hAnsi="Times New Roman" w:cs="Times New Roman"/>
                <w:b/>
              </w:rPr>
              <w:t>Conclusion:</w:t>
            </w:r>
            <w:r w:rsidRPr="00E1479C">
              <w:rPr>
                <w:rFonts w:ascii="Times New Roman" w:hAnsi="Times New Roman" w:cs="Times New Roman"/>
              </w:rPr>
              <w:t xml:space="preserve"> MNC count was lower in patients with reduced mobility. BMNC</w:t>
            </w:r>
            <w:r w:rsidR="00BF26FE">
              <w:rPr>
                <w:rFonts w:ascii="Times New Roman" w:hAnsi="Times New Roman" w:cs="Times New Roman"/>
              </w:rPr>
              <w:t>s</w:t>
            </w:r>
            <w:r w:rsidRPr="00E1479C">
              <w:rPr>
                <w:rFonts w:ascii="Times New Roman" w:hAnsi="Times New Roman" w:cs="Times New Roman"/>
              </w:rPr>
              <w:t xml:space="preserve"> have </w:t>
            </w:r>
            <w:r w:rsidR="00BF26FE">
              <w:rPr>
                <w:rFonts w:ascii="Times New Roman" w:hAnsi="Times New Roman" w:cs="Times New Roman"/>
              </w:rPr>
              <w:t xml:space="preserve">the </w:t>
            </w:r>
            <w:r w:rsidRPr="00E1479C">
              <w:rPr>
                <w:rFonts w:ascii="Times New Roman" w:hAnsi="Times New Roman" w:cs="Times New Roman"/>
              </w:rPr>
              <w:t xml:space="preserve">potential to </w:t>
            </w:r>
            <w:r w:rsidR="00BF26FE">
              <w:rPr>
                <w:rFonts w:ascii="Times New Roman" w:hAnsi="Times New Roman" w:cs="Times New Roman"/>
              </w:rPr>
              <w:t>heal</w:t>
            </w:r>
            <w:r w:rsidR="00BF26FE" w:rsidRPr="00E1479C">
              <w:rPr>
                <w:rFonts w:ascii="Times New Roman" w:hAnsi="Times New Roman" w:cs="Times New Roman"/>
              </w:rPr>
              <w:t xml:space="preserve"> </w:t>
            </w:r>
            <w:r w:rsidRPr="00E1479C">
              <w:rPr>
                <w:rFonts w:ascii="Times New Roman" w:hAnsi="Times New Roman" w:cs="Times New Roman"/>
              </w:rPr>
              <w:t>damaged neurons and muscle fibres in poliomyelitis.</w:t>
            </w:r>
          </w:p>
          <w:p w14:paraId="4D3FAA24" w14:textId="77777777" w:rsidR="0005471C" w:rsidRPr="00E1479C" w:rsidRDefault="0005471C" w:rsidP="005B7FF3">
            <w:pPr>
              <w:ind w:left="25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14:paraId="1E6F0424" w14:textId="50DD442F" w:rsidR="0005471C" w:rsidRPr="00E1479C" w:rsidRDefault="00F44F48" w:rsidP="00D879A5">
            <w:pPr>
              <w:rPr>
                <w:rFonts w:ascii="Times New Roman" w:hAnsi="Times New Roman" w:cs="Times New Roman"/>
                <w:lang w:val="en-US"/>
              </w:rPr>
            </w:pPr>
            <w:r w:rsidRPr="00F44F48">
              <w:rPr>
                <w:rFonts w:ascii="Times New Roman" w:hAnsi="Times New Roman" w:cs="Times New Roman"/>
                <w:lang w:val="en-US"/>
              </w:rPr>
              <w:t>http://ctri.nic.in/</w:t>
            </w:r>
          </w:p>
        </w:tc>
      </w:tr>
      <w:tr w:rsidR="00C00AE5" w:rsidRPr="00E1479C" w14:paraId="2E459F99" w14:textId="77777777" w:rsidTr="005B7FF3">
        <w:tc>
          <w:tcPr>
            <w:tcW w:w="2358" w:type="dxa"/>
          </w:tcPr>
          <w:p w14:paraId="408D03D7" w14:textId="77777777" w:rsidR="0005471C" w:rsidRPr="00E1479C" w:rsidRDefault="0005471C" w:rsidP="0005471C">
            <w:pPr>
              <w:rPr>
                <w:rFonts w:ascii="Times New Roman" w:hAnsi="Times New Roman" w:cs="Times New Roman"/>
              </w:rPr>
            </w:pPr>
            <w:r w:rsidRPr="00E1479C">
              <w:rPr>
                <w:rFonts w:ascii="Times New Roman" w:hAnsi="Times New Roman" w:cs="Times New Roman"/>
              </w:rPr>
              <w:t>CTRI/2017/12/011046</w:t>
            </w:r>
          </w:p>
          <w:p w14:paraId="7AD28DAE" w14:textId="77777777" w:rsidR="0005471C" w:rsidRPr="00E1479C" w:rsidRDefault="0005471C" w:rsidP="00D879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7" w:type="dxa"/>
          </w:tcPr>
          <w:p w14:paraId="3CB3B72A" w14:textId="094C6526" w:rsidR="00F54608" w:rsidRPr="00E1479C" w:rsidRDefault="00F54608" w:rsidP="00F54608">
            <w:pPr>
              <w:rPr>
                <w:rFonts w:ascii="Times New Roman" w:hAnsi="Times New Roman" w:cs="Times New Roman"/>
              </w:rPr>
            </w:pPr>
            <w:r w:rsidRPr="00E1479C">
              <w:rPr>
                <w:rFonts w:ascii="Times New Roman" w:hAnsi="Times New Roman" w:cs="Times New Roman"/>
              </w:rPr>
              <w:t>Various methods have been tried to induce operational tolerance in organ transplantation. We present a single-centr</w:t>
            </w:r>
            <w:r w:rsidR="00BF26FE">
              <w:rPr>
                <w:rFonts w:ascii="Times New Roman" w:hAnsi="Times New Roman" w:cs="Times New Roman"/>
              </w:rPr>
              <w:t>e</w:t>
            </w:r>
            <w:r w:rsidRPr="00E1479C">
              <w:rPr>
                <w:rFonts w:ascii="Times New Roman" w:hAnsi="Times New Roman" w:cs="Times New Roman"/>
              </w:rPr>
              <w:t xml:space="preserve"> experience using 6 tolerance induction protocols (TIP) in living-related renal transplantation.</w:t>
            </w:r>
          </w:p>
          <w:p w14:paraId="7A9250E8" w14:textId="77777777" w:rsidR="0005471C" w:rsidRPr="00E1479C" w:rsidRDefault="0005471C" w:rsidP="00D879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0" w:type="dxa"/>
          </w:tcPr>
          <w:p w14:paraId="2E8A5688" w14:textId="77777777" w:rsidR="00BF2A3D" w:rsidRDefault="00F54608" w:rsidP="00BF2A3D">
            <w:pPr>
              <w:ind w:left="250"/>
              <w:rPr>
                <w:rFonts w:ascii="Times New Roman" w:hAnsi="Times New Roman" w:cs="Times New Roman"/>
              </w:rPr>
            </w:pPr>
            <w:r w:rsidRPr="00E1479C">
              <w:rPr>
                <w:rFonts w:ascii="Times New Roman" w:hAnsi="Times New Roman" w:cs="Times New Roman"/>
              </w:rPr>
              <w:t>We evaluated 6 TIP protocols</w:t>
            </w:r>
            <w:r w:rsidR="00BF26FE">
              <w:rPr>
                <w:rFonts w:ascii="Times New Roman" w:hAnsi="Times New Roman" w:cs="Times New Roman"/>
              </w:rPr>
              <w:t xml:space="preserve"> that used</w:t>
            </w:r>
            <w:r w:rsidRPr="00E1479C">
              <w:rPr>
                <w:rFonts w:ascii="Times New Roman" w:hAnsi="Times New Roman" w:cs="Times New Roman"/>
              </w:rPr>
              <w:t xml:space="preserve">: </w:t>
            </w:r>
          </w:p>
          <w:p w14:paraId="379C5EE0" w14:textId="52D10E7D" w:rsidR="00BF2A3D" w:rsidRDefault="00F54608" w:rsidP="00BF2A3D">
            <w:pPr>
              <w:ind w:left="250"/>
              <w:rPr>
                <w:rFonts w:ascii="Times New Roman" w:hAnsi="Times New Roman" w:cs="Times New Roman"/>
              </w:rPr>
            </w:pPr>
            <w:r w:rsidRPr="00E1479C">
              <w:rPr>
                <w:rFonts w:ascii="Times New Roman" w:hAnsi="Times New Roman" w:cs="Times New Roman"/>
              </w:rPr>
              <w:t xml:space="preserve">(1) peripheral blood stem cells (n = 38); </w:t>
            </w:r>
          </w:p>
          <w:p w14:paraId="19F49431" w14:textId="340255EB" w:rsidR="00BF2A3D" w:rsidRDefault="00F54608" w:rsidP="00BF2A3D">
            <w:pPr>
              <w:ind w:left="250"/>
              <w:rPr>
                <w:rFonts w:ascii="Times New Roman" w:hAnsi="Times New Roman" w:cs="Times New Roman"/>
              </w:rPr>
            </w:pPr>
            <w:r w:rsidRPr="00E1479C">
              <w:rPr>
                <w:rFonts w:ascii="Times New Roman" w:hAnsi="Times New Roman" w:cs="Times New Roman"/>
              </w:rPr>
              <w:t>(2) m</w:t>
            </w:r>
            <w:r w:rsidR="00BF26FE">
              <w:rPr>
                <w:rFonts w:ascii="Times New Roman" w:hAnsi="Times New Roman" w:cs="Times New Roman"/>
              </w:rPr>
              <w:t>o</w:t>
            </w:r>
            <w:r w:rsidRPr="00E1479C">
              <w:rPr>
                <w:rFonts w:ascii="Times New Roman" w:hAnsi="Times New Roman" w:cs="Times New Roman"/>
              </w:rPr>
              <w:t xml:space="preserve">dified protocol </w:t>
            </w:r>
            <w:r w:rsidR="00BF26FE">
              <w:rPr>
                <w:rFonts w:ascii="Times New Roman" w:hAnsi="Times New Roman" w:cs="Times New Roman"/>
              </w:rPr>
              <w:t>with</w:t>
            </w:r>
            <w:r w:rsidR="00BF26FE" w:rsidRPr="00E1479C">
              <w:rPr>
                <w:rFonts w:ascii="Times New Roman" w:hAnsi="Times New Roman" w:cs="Times New Roman"/>
              </w:rPr>
              <w:t xml:space="preserve"> </w:t>
            </w:r>
            <w:r w:rsidRPr="00E1479C">
              <w:rPr>
                <w:rFonts w:ascii="Times New Roman" w:hAnsi="Times New Roman" w:cs="Times New Roman"/>
              </w:rPr>
              <w:t xml:space="preserve">portal infusion (n = 292); </w:t>
            </w:r>
          </w:p>
          <w:p w14:paraId="4C6704C5" w14:textId="1752A537" w:rsidR="00BF2A3D" w:rsidRDefault="00F54608" w:rsidP="00BF2A3D">
            <w:pPr>
              <w:ind w:left="250"/>
              <w:rPr>
                <w:rFonts w:ascii="Times New Roman" w:hAnsi="Times New Roman" w:cs="Times New Roman"/>
              </w:rPr>
            </w:pPr>
            <w:r w:rsidRPr="00E1479C">
              <w:rPr>
                <w:rFonts w:ascii="Times New Roman" w:hAnsi="Times New Roman" w:cs="Times New Roman"/>
              </w:rPr>
              <w:t xml:space="preserve">(3) second protocol plus </w:t>
            </w:r>
            <w:proofErr w:type="spellStart"/>
            <w:r w:rsidRPr="00E1479C">
              <w:rPr>
                <w:rFonts w:ascii="Times New Roman" w:hAnsi="Times New Roman" w:cs="Times New Roman"/>
              </w:rPr>
              <w:t>TIP+DST+BM+intra</w:t>
            </w:r>
            <w:r w:rsidR="00BF26FE">
              <w:rPr>
                <w:rFonts w:ascii="Times New Roman" w:hAnsi="Times New Roman" w:cs="Times New Roman"/>
              </w:rPr>
              <w:t>-</w:t>
            </w:r>
            <w:r w:rsidRPr="00E1479C">
              <w:rPr>
                <w:rFonts w:ascii="Times New Roman" w:hAnsi="Times New Roman" w:cs="Times New Roman"/>
              </w:rPr>
              <w:t>thymic</w:t>
            </w:r>
            <w:proofErr w:type="spellEnd"/>
            <w:r w:rsidRPr="00E1479C">
              <w:rPr>
                <w:rFonts w:ascii="Times New Roman" w:hAnsi="Times New Roman" w:cs="Times New Roman"/>
              </w:rPr>
              <w:t xml:space="preserve"> and intra</w:t>
            </w:r>
            <w:r w:rsidR="00BF26FE">
              <w:rPr>
                <w:rFonts w:ascii="Times New Roman" w:hAnsi="Times New Roman" w:cs="Times New Roman"/>
              </w:rPr>
              <w:t>-</w:t>
            </w:r>
            <w:r w:rsidRPr="00E1479C">
              <w:rPr>
                <w:rFonts w:ascii="Times New Roman" w:hAnsi="Times New Roman" w:cs="Times New Roman"/>
              </w:rPr>
              <w:t xml:space="preserve">marrow infusion plus low-dose nonmyeloablative conditioning (n = 174), </w:t>
            </w:r>
          </w:p>
          <w:p w14:paraId="4C6537F3" w14:textId="77777777" w:rsidR="00BF2A3D" w:rsidRDefault="00F54608" w:rsidP="00BF2A3D">
            <w:pPr>
              <w:ind w:left="250"/>
              <w:rPr>
                <w:rFonts w:ascii="Times New Roman" w:hAnsi="Times New Roman" w:cs="Times New Roman"/>
              </w:rPr>
            </w:pPr>
            <w:r w:rsidRPr="00E1479C">
              <w:rPr>
                <w:rFonts w:ascii="Times New Roman" w:hAnsi="Times New Roman" w:cs="Times New Roman"/>
              </w:rPr>
              <w:t xml:space="preserve">(4) the third protocol of TIP plus cultured hematopoietic stem cells (HSC) with target-specific irradiation (n = 290); </w:t>
            </w:r>
          </w:p>
          <w:p w14:paraId="0BD71FEB" w14:textId="77777777" w:rsidR="00BF2A3D" w:rsidRDefault="00F54608" w:rsidP="00BF2A3D">
            <w:pPr>
              <w:ind w:left="250"/>
              <w:rPr>
                <w:rFonts w:ascii="Times New Roman" w:hAnsi="Times New Roman" w:cs="Times New Roman"/>
              </w:rPr>
            </w:pPr>
            <w:r w:rsidRPr="00E1479C">
              <w:rPr>
                <w:rFonts w:ascii="Times New Roman" w:hAnsi="Times New Roman" w:cs="Times New Roman"/>
              </w:rPr>
              <w:t>(5) TIP 4 plus thymus, intra</w:t>
            </w:r>
            <w:r w:rsidR="00BF26FE">
              <w:rPr>
                <w:rFonts w:ascii="Times New Roman" w:hAnsi="Times New Roman" w:cs="Times New Roman"/>
              </w:rPr>
              <w:t>-</w:t>
            </w:r>
            <w:r w:rsidRPr="00E1479C">
              <w:rPr>
                <w:rFonts w:ascii="Times New Roman" w:hAnsi="Times New Roman" w:cs="Times New Roman"/>
              </w:rPr>
              <w:t>marrow infusion, and target-specific irradiation converted to total lymphoid irradiation (TLI) (n = 366); and</w:t>
            </w:r>
          </w:p>
          <w:p w14:paraId="1A827B08" w14:textId="5898F94F" w:rsidR="00F54608" w:rsidRDefault="00F54608" w:rsidP="00BF2A3D">
            <w:pPr>
              <w:ind w:left="250"/>
              <w:rPr>
                <w:rFonts w:ascii="Times New Roman" w:hAnsi="Times New Roman" w:cs="Times New Roman"/>
              </w:rPr>
            </w:pPr>
            <w:r w:rsidRPr="00E1479C">
              <w:rPr>
                <w:rFonts w:ascii="Times New Roman" w:hAnsi="Times New Roman" w:cs="Times New Roman"/>
              </w:rPr>
              <w:t xml:space="preserve">(6) TIP 5 plus </w:t>
            </w:r>
            <w:proofErr w:type="spellStart"/>
            <w:r w:rsidRPr="00E1479C">
              <w:rPr>
                <w:rFonts w:ascii="Times New Roman" w:hAnsi="Times New Roman" w:cs="Times New Roman"/>
              </w:rPr>
              <w:t>bortzomib</w:t>
            </w:r>
            <w:proofErr w:type="spellEnd"/>
            <w:r w:rsidRPr="00E1479C">
              <w:rPr>
                <w:rFonts w:ascii="Times New Roman" w:hAnsi="Times New Roman" w:cs="Times New Roman"/>
              </w:rPr>
              <w:t>-TLI (n = 165). Patient/donor demographics were comparable.</w:t>
            </w:r>
          </w:p>
          <w:p w14:paraId="485E492E" w14:textId="137D7C50" w:rsidR="00BF2A3D" w:rsidRPr="00E1479C" w:rsidRDefault="00BF2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Pr="00E1479C">
              <w:rPr>
                <w:rFonts w:ascii="Times New Roman" w:hAnsi="Times New Roman" w:cs="Times New Roman"/>
              </w:rPr>
              <w:t>atient and graft survival, rejection episodes, recurrence, drug toxicity, and chimerism</w:t>
            </w:r>
            <w:r>
              <w:rPr>
                <w:rFonts w:ascii="Times New Roman" w:hAnsi="Times New Roman" w:cs="Times New Roman"/>
              </w:rPr>
              <w:t>, were evaluated.</w:t>
            </w:r>
          </w:p>
          <w:p w14:paraId="7605C18F" w14:textId="77777777" w:rsidR="005B7FF3" w:rsidRDefault="005B7FF3" w:rsidP="005B7FF3">
            <w:pPr>
              <w:rPr>
                <w:rFonts w:ascii="Times New Roman" w:hAnsi="Times New Roman" w:cs="Times New Roman"/>
              </w:rPr>
            </w:pPr>
          </w:p>
          <w:p w14:paraId="7A54DB39" w14:textId="77777777" w:rsidR="005B7FF3" w:rsidRDefault="005B7FF3" w:rsidP="005B7FF3">
            <w:pPr>
              <w:rPr>
                <w:rFonts w:ascii="Times New Roman" w:hAnsi="Times New Roman" w:cs="Times New Roman"/>
              </w:rPr>
            </w:pPr>
          </w:p>
          <w:p w14:paraId="3019BDDE" w14:textId="55DF8096" w:rsidR="00BF2A3D" w:rsidRDefault="00F54608" w:rsidP="005B7FF3">
            <w:pPr>
              <w:rPr>
                <w:rFonts w:ascii="Times New Roman" w:hAnsi="Times New Roman" w:cs="Times New Roman"/>
              </w:rPr>
            </w:pPr>
            <w:r w:rsidRPr="00E1479C">
              <w:rPr>
                <w:rFonts w:ascii="Times New Roman" w:hAnsi="Times New Roman" w:cs="Times New Roman"/>
                <w:b/>
              </w:rPr>
              <w:t>Results:</w:t>
            </w:r>
            <w:r w:rsidRPr="00E1479C">
              <w:rPr>
                <w:rFonts w:ascii="Times New Roman" w:hAnsi="Times New Roman" w:cs="Times New Roman"/>
              </w:rPr>
              <w:t xml:space="preserve"> </w:t>
            </w:r>
          </w:p>
          <w:p w14:paraId="3C843737" w14:textId="226B3629" w:rsidR="00BF2A3D" w:rsidRDefault="00BF26FE" w:rsidP="005B7FF3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Times New Roman" w:hAnsi="Times New Roman" w:cs="Times New Roman"/>
              </w:rPr>
            </w:pPr>
            <w:r w:rsidRPr="005B7FF3">
              <w:rPr>
                <w:rFonts w:ascii="Times New Roman" w:hAnsi="Times New Roman" w:cs="Times New Roman"/>
              </w:rPr>
              <w:t xml:space="preserve">Patients with protocols </w:t>
            </w:r>
            <w:r w:rsidR="00F54608" w:rsidRPr="005B7FF3">
              <w:rPr>
                <w:rFonts w:ascii="Times New Roman" w:hAnsi="Times New Roman" w:cs="Times New Roman"/>
              </w:rPr>
              <w:t xml:space="preserve">4 and 5 showed better survival, graft function, </w:t>
            </w:r>
            <w:r w:rsidRPr="005B7FF3">
              <w:rPr>
                <w:rFonts w:ascii="Times New Roman" w:hAnsi="Times New Roman" w:cs="Times New Roman"/>
              </w:rPr>
              <w:t xml:space="preserve">and </w:t>
            </w:r>
            <w:r w:rsidR="00F54608" w:rsidRPr="005B7FF3">
              <w:rPr>
                <w:rFonts w:ascii="Times New Roman" w:hAnsi="Times New Roman" w:cs="Times New Roman"/>
              </w:rPr>
              <w:t>chimerism, and decreased rejection episodes</w:t>
            </w:r>
            <w:r w:rsidRPr="005B7FF3">
              <w:rPr>
                <w:rFonts w:ascii="Times New Roman" w:hAnsi="Times New Roman" w:cs="Times New Roman"/>
              </w:rPr>
              <w:t>,</w:t>
            </w:r>
            <w:r w:rsidR="00F54608" w:rsidRPr="005B7FF3">
              <w:rPr>
                <w:rFonts w:ascii="Times New Roman" w:hAnsi="Times New Roman" w:cs="Times New Roman"/>
              </w:rPr>
              <w:t xml:space="preserve"> compared </w:t>
            </w:r>
            <w:r w:rsidRPr="005B7FF3">
              <w:rPr>
                <w:rFonts w:ascii="Times New Roman" w:hAnsi="Times New Roman" w:cs="Times New Roman"/>
              </w:rPr>
              <w:t xml:space="preserve">to other </w:t>
            </w:r>
            <w:r w:rsidR="00F54608" w:rsidRPr="005B7FF3">
              <w:rPr>
                <w:rFonts w:ascii="Times New Roman" w:hAnsi="Times New Roman" w:cs="Times New Roman"/>
              </w:rPr>
              <w:t xml:space="preserve">protocols. </w:t>
            </w:r>
          </w:p>
          <w:p w14:paraId="39319BEC" w14:textId="0048DAA1" w:rsidR="00BF2A3D" w:rsidRDefault="00BF26FE" w:rsidP="005B7FF3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Times New Roman" w:hAnsi="Times New Roman" w:cs="Times New Roman"/>
              </w:rPr>
            </w:pPr>
            <w:r w:rsidRPr="005B7FF3">
              <w:rPr>
                <w:rFonts w:ascii="Times New Roman" w:hAnsi="Times New Roman" w:cs="Times New Roman"/>
              </w:rPr>
              <w:t>In groups 1-6, s</w:t>
            </w:r>
            <w:r w:rsidR="00F54608" w:rsidRPr="005B7FF3">
              <w:rPr>
                <w:rFonts w:ascii="Times New Roman" w:hAnsi="Times New Roman" w:cs="Times New Roman"/>
              </w:rPr>
              <w:t xml:space="preserve">erum creatinine (mg/dL) at 1 year was 1.5, 1.39, 1.5, 1.51, 1.46, and 1.41, </w:t>
            </w:r>
            <w:r w:rsidRPr="005B7FF3">
              <w:rPr>
                <w:rFonts w:ascii="Times New Roman" w:hAnsi="Times New Roman" w:cs="Times New Roman"/>
              </w:rPr>
              <w:t xml:space="preserve">respectively, </w:t>
            </w:r>
            <w:r w:rsidR="00F54608" w:rsidRPr="005B7FF3">
              <w:rPr>
                <w:rFonts w:ascii="Times New Roman" w:hAnsi="Times New Roman" w:cs="Times New Roman"/>
              </w:rPr>
              <w:t>and at 5 years</w:t>
            </w:r>
            <w:r w:rsidRPr="005B7FF3">
              <w:rPr>
                <w:rFonts w:ascii="Times New Roman" w:hAnsi="Times New Roman" w:cs="Times New Roman"/>
              </w:rPr>
              <w:t xml:space="preserve"> it was </w:t>
            </w:r>
            <w:r w:rsidR="00F54608" w:rsidRPr="005B7FF3">
              <w:rPr>
                <w:rFonts w:ascii="Times New Roman" w:hAnsi="Times New Roman" w:cs="Times New Roman"/>
              </w:rPr>
              <w:t xml:space="preserve"> 1.69, 1.72, 1.82</w:t>
            </w:r>
            <w:r w:rsidRPr="005B7FF3">
              <w:rPr>
                <w:rFonts w:ascii="Times New Roman" w:hAnsi="Times New Roman" w:cs="Times New Roman"/>
              </w:rPr>
              <w:t>,</w:t>
            </w:r>
            <w:r w:rsidR="00F54608" w:rsidRPr="005B7FF3">
              <w:rPr>
                <w:rFonts w:ascii="Times New Roman" w:hAnsi="Times New Roman" w:cs="Times New Roman"/>
              </w:rPr>
              <w:t xml:space="preserve"> and 1.59, respectively. Chronic rejection episodes were </w:t>
            </w:r>
            <w:r w:rsidRPr="005B7FF3">
              <w:rPr>
                <w:rFonts w:ascii="Times New Roman" w:hAnsi="Times New Roman" w:cs="Times New Roman"/>
              </w:rPr>
              <w:t xml:space="preserve">seen in </w:t>
            </w:r>
            <w:r w:rsidR="00F54608" w:rsidRPr="005B7FF3">
              <w:rPr>
                <w:rFonts w:ascii="Times New Roman" w:hAnsi="Times New Roman" w:cs="Times New Roman"/>
              </w:rPr>
              <w:t xml:space="preserve">10.5%, 14.1%, 10.4%, 9.3%, 3.5%, 1.7%, and 1.8% </w:t>
            </w:r>
            <w:r w:rsidRPr="005B7FF3">
              <w:rPr>
                <w:rFonts w:ascii="Times New Roman" w:hAnsi="Times New Roman" w:cs="Times New Roman"/>
              </w:rPr>
              <w:t xml:space="preserve">of the population, </w:t>
            </w:r>
            <w:r w:rsidR="00F54608" w:rsidRPr="005B7FF3">
              <w:rPr>
                <w:rFonts w:ascii="Times New Roman" w:hAnsi="Times New Roman" w:cs="Times New Roman"/>
              </w:rPr>
              <w:t xml:space="preserve">respectively. </w:t>
            </w:r>
          </w:p>
          <w:p w14:paraId="513DDB0C" w14:textId="28490943" w:rsidR="00BF2A3D" w:rsidRDefault="00F54608" w:rsidP="005B7FF3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Times New Roman" w:hAnsi="Times New Roman" w:cs="Times New Roman"/>
              </w:rPr>
            </w:pPr>
            <w:r w:rsidRPr="005B7FF3">
              <w:rPr>
                <w:rFonts w:ascii="Times New Roman" w:hAnsi="Times New Roman" w:cs="Times New Roman"/>
              </w:rPr>
              <w:t xml:space="preserve">Patient survival </w:t>
            </w:r>
            <w:r w:rsidR="00BF26FE" w:rsidRPr="005B7FF3">
              <w:rPr>
                <w:rFonts w:ascii="Times New Roman" w:hAnsi="Times New Roman" w:cs="Times New Roman"/>
              </w:rPr>
              <w:t xml:space="preserve">in </w:t>
            </w:r>
            <w:r w:rsidRPr="005B7FF3">
              <w:rPr>
                <w:rFonts w:ascii="Times New Roman" w:hAnsi="Times New Roman" w:cs="Times New Roman"/>
              </w:rPr>
              <w:t>groups 1, 2, and 3 at 1, 5, and 10 years was 86.5%, 56.8%, and 40.1%; 89.4%, 69.1%, and 56.4%; and 89.6%, 67.7%, and 64.6%, respectively</w:t>
            </w:r>
            <w:r w:rsidR="00BF26FE" w:rsidRPr="005B7FF3">
              <w:rPr>
                <w:rFonts w:ascii="Times New Roman" w:hAnsi="Times New Roman" w:cs="Times New Roman"/>
              </w:rPr>
              <w:t xml:space="preserve">. The same for </w:t>
            </w:r>
            <w:r w:rsidRPr="005B7FF3">
              <w:rPr>
                <w:rFonts w:ascii="Times New Roman" w:hAnsi="Times New Roman" w:cs="Times New Roman"/>
              </w:rPr>
              <w:t xml:space="preserve">group 4 </w:t>
            </w:r>
            <w:r w:rsidR="00BF26FE" w:rsidRPr="005B7FF3">
              <w:rPr>
                <w:rFonts w:ascii="Times New Roman" w:hAnsi="Times New Roman" w:cs="Times New Roman"/>
              </w:rPr>
              <w:t xml:space="preserve">at </w:t>
            </w:r>
            <w:r w:rsidRPr="005B7FF3">
              <w:rPr>
                <w:rFonts w:ascii="Times New Roman" w:hAnsi="Times New Roman" w:cs="Times New Roman"/>
              </w:rPr>
              <w:t>1 and 5 years was 92.4% and 81.8%</w:t>
            </w:r>
            <w:r w:rsidR="00BF26FE" w:rsidRPr="005B7FF3">
              <w:rPr>
                <w:rFonts w:ascii="Times New Roman" w:hAnsi="Times New Roman" w:cs="Times New Roman"/>
              </w:rPr>
              <w:t xml:space="preserve">, and that </w:t>
            </w:r>
            <w:r w:rsidRPr="005B7FF3">
              <w:rPr>
                <w:rFonts w:ascii="Times New Roman" w:hAnsi="Times New Roman" w:cs="Times New Roman"/>
              </w:rPr>
              <w:t xml:space="preserve">for groups 5 and 6 </w:t>
            </w:r>
            <w:r w:rsidR="00BF26FE" w:rsidRPr="005B7FF3">
              <w:rPr>
                <w:rFonts w:ascii="Times New Roman" w:hAnsi="Times New Roman" w:cs="Times New Roman"/>
              </w:rPr>
              <w:t xml:space="preserve">at </w:t>
            </w:r>
            <w:r w:rsidRPr="005B7FF3">
              <w:rPr>
                <w:rFonts w:ascii="Times New Roman" w:hAnsi="Times New Roman" w:cs="Times New Roman"/>
              </w:rPr>
              <w:t xml:space="preserve">1 year was 94% and 96.3%, respectively. </w:t>
            </w:r>
          </w:p>
          <w:p w14:paraId="6B81CBC5" w14:textId="218A5466" w:rsidR="00F54608" w:rsidRPr="005B7FF3" w:rsidRDefault="00BF26FE" w:rsidP="005B7FF3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Times New Roman" w:hAnsi="Times New Roman" w:cs="Times New Roman"/>
              </w:rPr>
            </w:pPr>
            <w:r w:rsidRPr="005B7FF3">
              <w:rPr>
                <w:rFonts w:ascii="Times New Roman" w:hAnsi="Times New Roman" w:cs="Times New Roman"/>
              </w:rPr>
              <w:t>D</w:t>
            </w:r>
            <w:r w:rsidR="00F54608" w:rsidRPr="005B7FF3">
              <w:rPr>
                <w:rFonts w:ascii="Times New Roman" w:hAnsi="Times New Roman" w:cs="Times New Roman"/>
              </w:rPr>
              <w:t xml:space="preserve">eath-censored graft survival </w:t>
            </w:r>
            <w:r w:rsidR="00931672" w:rsidRPr="005B7FF3">
              <w:rPr>
                <w:rFonts w:ascii="Times New Roman" w:hAnsi="Times New Roman" w:cs="Times New Roman"/>
              </w:rPr>
              <w:t xml:space="preserve">in </w:t>
            </w:r>
            <w:r w:rsidR="00F54608" w:rsidRPr="005B7FF3">
              <w:rPr>
                <w:rFonts w:ascii="Times New Roman" w:hAnsi="Times New Roman" w:cs="Times New Roman"/>
              </w:rPr>
              <w:t xml:space="preserve">groups 1, 2, and 3 at 1, 5, and 10 years was 91.9%, 70.3%, and 64.7%; 89%, 66%, and 57.6%; and 86.7%, 67%, and 42.5%, respectively. </w:t>
            </w:r>
            <w:r w:rsidR="00931672" w:rsidRPr="005B7FF3">
              <w:rPr>
                <w:rFonts w:ascii="Times New Roman" w:hAnsi="Times New Roman" w:cs="Times New Roman"/>
              </w:rPr>
              <w:t xml:space="preserve">The same in </w:t>
            </w:r>
            <w:r w:rsidR="00F54608" w:rsidRPr="005B7FF3">
              <w:rPr>
                <w:rFonts w:ascii="Times New Roman" w:hAnsi="Times New Roman" w:cs="Times New Roman"/>
              </w:rPr>
              <w:t xml:space="preserve">group 4 </w:t>
            </w:r>
            <w:r w:rsidR="00931672" w:rsidRPr="005B7FF3">
              <w:rPr>
                <w:rFonts w:ascii="Times New Roman" w:hAnsi="Times New Roman" w:cs="Times New Roman"/>
              </w:rPr>
              <w:t xml:space="preserve">at </w:t>
            </w:r>
            <w:r w:rsidR="00F54608" w:rsidRPr="005B7FF3">
              <w:rPr>
                <w:rFonts w:ascii="Times New Roman" w:hAnsi="Times New Roman" w:cs="Times New Roman"/>
              </w:rPr>
              <w:t xml:space="preserve">1 and 5 years was 87.9% and 74.7%; and </w:t>
            </w:r>
            <w:r w:rsidR="00931672" w:rsidRPr="005B7FF3">
              <w:rPr>
                <w:rFonts w:ascii="Times New Roman" w:hAnsi="Times New Roman" w:cs="Times New Roman"/>
              </w:rPr>
              <w:t xml:space="preserve">in </w:t>
            </w:r>
            <w:r w:rsidR="00F54608" w:rsidRPr="005B7FF3">
              <w:rPr>
                <w:rFonts w:ascii="Times New Roman" w:hAnsi="Times New Roman" w:cs="Times New Roman"/>
              </w:rPr>
              <w:t xml:space="preserve">groups 5 and 6 </w:t>
            </w:r>
            <w:r w:rsidR="00931672" w:rsidRPr="005B7FF3">
              <w:rPr>
                <w:rFonts w:ascii="Times New Roman" w:hAnsi="Times New Roman" w:cs="Times New Roman"/>
              </w:rPr>
              <w:t xml:space="preserve">at </w:t>
            </w:r>
            <w:r w:rsidR="00F54608" w:rsidRPr="005B7FF3">
              <w:rPr>
                <w:rFonts w:ascii="Times New Roman" w:hAnsi="Times New Roman" w:cs="Times New Roman"/>
              </w:rPr>
              <w:t>1 year was 94% and 96.5%, respectively.</w:t>
            </w:r>
          </w:p>
          <w:p w14:paraId="6D7329CB" w14:textId="77777777" w:rsidR="00F54608" w:rsidRPr="00E1479C" w:rsidRDefault="00F54608" w:rsidP="005B7FF3">
            <w:pPr>
              <w:ind w:left="250"/>
              <w:rPr>
                <w:rFonts w:ascii="Times New Roman" w:hAnsi="Times New Roman" w:cs="Times New Roman"/>
              </w:rPr>
            </w:pPr>
          </w:p>
          <w:p w14:paraId="761739DE" w14:textId="6FFBF2B7" w:rsidR="00F54608" w:rsidRPr="00E1479C" w:rsidRDefault="00F54608" w:rsidP="005B7FF3">
            <w:pPr>
              <w:ind w:left="250" w:hanging="250"/>
              <w:rPr>
                <w:rFonts w:ascii="Times New Roman" w:hAnsi="Times New Roman" w:cs="Times New Roman"/>
              </w:rPr>
            </w:pPr>
            <w:r w:rsidRPr="00E1479C">
              <w:rPr>
                <w:rFonts w:ascii="Times New Roman" w:hAnsi="Times New Roman" w:cs="Times New Roman"/>
                <w:b/>
              </w:rPr>
              <w:t>Conclusion:</w:t>
            </w:r>
            <w:r w:rsidRPr="00E1479C">
              <w:rPr>
                <w:rFonts w:ascii="Times New Roman" w:hAnsi="Times New Roman" w:cs="Times New Roman"/>
              </w:rPr>
              <w:t xml:space="preserve"> TIP results showed improved graft/patient survival</w:t>
            </w:r>
            <w:r w:rsidR="00931672">
              <w:rPr>
                <w:rFonts w:ascii="Times New Roman" w:hAnsi="Times New Roman" w:cs="Times New Roman"/>
              </w:rPr>
              <w:t xml:space="preserve"> and</w:t>
            </w:r>
            <w:r w:rsidRPr="00E1479C">
              <w:rPr>
                <w:rFonts w:ascii="Times New Roman" w:hAnsi="Times New Roman" w:cs="Times New Roman"/>
              </w:rPr>
              <w:t xml:space="preserve"> minimum immunosuppression a</w:t>
            </w:r>
            <w:r w:rsidR="00931672">
              <w:rPr>
                <w:rFonts w:ascii="Times New Roman" w:hAnsi="Times New Roman" w:cs="Times New Roman"/>
              </w:rPr>
              <w:t xml:space="preserve">long with </w:t>
            </w:r>
            <w:r w:rsidRPr="00E1479C">
              <w:rPr>
                <w:rFonts w:ascii="Times New Roman" w:hAnsi="Times New Roman" w:cs="Times New Roman"/>
              </w:rPr>
              <w:t xml:space="preserve">fewer episodes </w:t>
            </w:r>
            <w:r w:rsidR="00931672">
              <w:rPr>
                <w:rFonts w:ascii="Times New Roman" w:hAnsi="Times New Roman" w:cs="Times New Roman"/>
              </w:rPr>
              <w:t xml:space="preserve">of </w:t>
            </w:r>
            <w:r w:rsidR="00931672" w:rsidRPr="00E1479C">
              <w:rPr>
                <w:rFonts w:ascii="Times New Roman" w:hAnsi="Times New Roman" w:cs="Times New Roman"/>
              </w:rPr>
              <w:t xml:space="preserve">rejection </w:t>
            </w:r>
            <w:r w:rsidR="00931672">
              <w:rPr>
                <w:rFonts w:ascii="Times New Roman" w:hAnsi="Times New Roman" w:cs="Times New Roman"/>
              </w:rPr>
              <w:t>or</w:t>
            </w:r>
            <w:r w:rsidR="00931672" w:rsidRPr="00E1479C">
              <w:rPr>
                <w:rFonts w:ascii="Times New Roman" w:hAnsi="Times New Roman" w:cs="Times New Roman"/>
              </w:rPr>
              <w:t xml:space="preserve"> </w:t>
            </w:r>
            <w:r w:rsidRPr="00E1479C">
              <w:rPr>
                <w:rFonts w:ascii="Times New Roman" w:hAnsi="Times New Roman" w:cs="Times New Roman"/>
              </w:rPr>
              <w:t>recurrence.</w:t>
            </w:r>
          </w:p>
          <w:p w14:paraId="5A36C87E" w14:textId="77777777" w:rsidR="0005471C" w:rsidRPr="00E1479C" w:rsidRDefault="0005471C" w:rsidP="005B7FF3">
            <w:pPr>
              <w:ind w:left="25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14:paraId="02B67F7D" w14:textId="70FE474A" w:rsidR="0005471C" w:rsidRPr="00E1479C" w:rsidRDefault="00F44F48" w:rsidP="00D879A5">
            <w:pPr>
              <w:rPr>
                <w:rFonts w:ascii="Times New Roman" w:hAnsi="Times New Roman" w:cs="Times New Roman"/>
                <w:lang w:val="en-US"/>
              </w:rPr>
            </w:pPr>
            <w:r w:rsidRPr="00F44F48">
              <w:rPr>
                <w:rFonts w:ascii="Times New Roman" w:hAnsi="Times New Roman" w:cs="Times New Roman"/>
                <w:lang w:val="en-US"/>
              </w:rPr>
              <w:lastRenderedPageBreak/>
              <w:t>http://ctri.nic.in/</w:t>
            </w:r>
          </w:p>
        </w:tc>
      </w:tr>
    </w:tbl>
    <w:p w14:paraId="40088B79" w14:textId="77777777" w:rsidR="0005471C" w:rsidRPr="00E1479C" w:rsidRDefault="0005471C" w:rsidP="0005471C">
      <w:pPr>
        <w:rPr>
          <w:rFonts w:ascii="Times New Roman" w:hAnsi="Times New Roman" w:cs="Times New Roman"/>
          <w:lang w:val="en-US"/>
        </w:rPr>
      </w:pPr>
    </w:p>
    <w:p w14:paraId="12E2C949" w14:textId="15DBDE1A" w:rsidR="00EE75A6" w:rsidRDefault="009753F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References</w:t>
      </w:r>
    </w:p>
    <w:p w14:paraId="5867E9D6" w14:textId="4C7FEBDA" w:rsidR="009753F3" w:rsidRPr="009753F3" w:rsidRDefault="009753F3" w:rsidP="009753F3">
      <w:pPr>
        <w:pStyle w:val="Bibliography"/>
        <w:rPr>
          <w:rFonts w:ascii="Times New Roman" w:hAnsi="Times New Roman" w:cs="Times New Roman"/>
        </w:rPr>
      </w:pPr>
      <w:r w:rsidRPr="009753F3">
        <w:rPr>
          <w:rFonts w:ascii="Times New Roman" w:hAnsi="Times New Roman" w:cs="Times New Roman"/>
        </w:rPr>
        <w:t xml:space="preserve">1. </w:t>
      </w:r>
      <w:r w:rsidRPr="009753F3">
        <w:rPr>
          <w:rFonts w:ascii="Times New Roman" w:hAnsi="Times New Roman" w:cs="Times New Roman"/>
        </w:rPr>
        <w:tab/>
        <w:t xml:space="preserve">Bhansali S, Dutta P, Yadav MK, Jain A, </w:t>
      </w:r>
      <w:proofErr w:type="spellStart"/>
      <w:r w:rsidRPr="009753F3">
        <w:rPr>
          <w:rFonts w:ascii="Times New Roman" w:hAnsi="Times New Roman" w:cs="Times New Roman"/>
        </w:rPr>
        <w:t>Mudaliar</w:t>
      </w:r>
      <w:proofErr w:type="spellEnd"/>
      <w:r w:rsidRPr="009753F3">
        <w:rPr>
          <w:rFonts w:ascii="Times New Roman" w:hAnsi="Times New Roman" w:cs="Times New Roman"/>
        </w:rPr>
        <w:t xml:space="preserve"> S, Hawkins M, et al. Autologous bone marrow-derived mononuclear cells transplantation in type 2 diabetes mellitus: effect on β-cell function and insulin sensitivity. </w:t>
      </w:r>
      <w:proofErr w:type="spellStart"/>
      <w:r w:rsidRPr="009753F3">
        <w:rPr>
          <w:rFonts w:ascii="Times New Roman" w:hAnsi="Times New Roman" w:cs="Times New Roman"/>
        </w:rPr>
        <w:t>Diabetol</w:t>
      </w:r>
      <w:proofErr w:type="spellEnd"/>
      <w:r w:rsidRPr="009753F3">
        <w:rPr>
          <w:rFonts w:ascii="Times New Roman" w:hAnsi="Times New Roman" w:cs="Times New Roman"/>
        </w:rPr>
        <w:t xml:space="preserve"> </w:t>
      </w:r>
      <w:proofErr w:type="spellStart"/>
      <w:r w:rsidRPr="009753F3">
        <w:rPr>
          <w:rFonts w:ascii="Times New Roman" w:hAnsi="Times New Roman" w:cs="Times New Roman"/>
        </w:rPr>
        <w:t>Metab</w:t>
      </w:r>
      <w:proofErr w:type="spellEnd"/>
      <w:r w:rsidRPr="009753F3">
        <w:rPr>
          <w:rFonts w:ascii="Times New Roman" w:hAnsi="Times New Roman" w:cs="Times New Roman"/>
        </w:rPr>
        <w:t xml:space="preserve"> </w:t>
      </w:r>
      <w:proofErr w:type="spellStart"/>
      <w:r w:rsidRPr="009753F3">
        <w:rPr>
          <w:rFonts w:ascii="Times New Roman" w:hAnsi="Times New Roman" w:cs="Times New Roman"/>
        </w:rPr>
        <w:t>Syndr</w:t>
      </w:r>
      <w:proofErr w:type="spellEnd"/>
      <w:r w:rsidRPr="009753F3">
        <w:rPr>
          <w:rFonts w:ascii="Times New Roman" w:hAnsi="Times New Roman" w:cs="Times New Roman"/>
        </w:rPr>
        <w:t xml:space="preserve">. 2017;9:50. </w:t>
      </w:r>
    </w:p>
    <w:p w14:paraId="2582A676" w14:textId="77777777" w:rsidR="009753F3" w:rsidRPr="009753F3" w:rsidRDefault="009753F3" w:rsidP="009753F3">
      <w:pPr>
        <w:pStyle w:val="Bibliography"/>
        <w:rPr>
          <w:rFonts w:ascii="Times New Roman" w:hAnsi="Times New Roman" w:cs="Times New Roman"/>
        </w:rPr>
      </w:pPr>
      <w:r w:rsidRPr="009753F3">
        <w:rPr>
          <w:rFonts w:ascii="Times New Roman" w:hAnsi="Times New Roman" w:cs="Times New Roman"/>
        </w:rPr>
        <w:lastRenderedPageBreak/>
        <w:t xml:space="preserve">2. </w:t>
      </w:r>
      <w:r w:rsidRPr="009753F3">
        <w:rPr>
          <w:rFonts w:ascii="Times New Roman" w:hAnsi="Times New Roman" w:cs="Times New Roman"/>
        </w:rPr>
        <w:tab/>
        <w:t xml:space="preserve">Gupta PK, </w:t>
      </w:r>
      <w:proofErr w:type="spellStart"/>
      <w:r w:rsidRPr="009753F3">
        <w:rPr>
          <w:rFonts w:ascii="Times New Roman" w:hAnsi="Times New Roman" w:cs="Times New Roman"/>
        </w:rPr>
        <w:t>Chullikana</w:t>
      </w:r>
      <w:proofErr w:type="spellEnd"/>
      <w:r w:rsidRPr="009753F3">
        <w:rPr>
          <w:rFonts w:ascii="Times New Roman" w:hAnsi="Times New Roman" w:cs="Times New Roman"/>
        </w:rPr>
        <w:t xml:space="preserve"> A, </w:t>
      </w:r>
      <w:proofErr w:type="spellStart"/>
      <w:r w:rsidRPr="009753F3">
        <w:rPr>
          <w:rFonts w:ascii="Times New Roman" w:hAnsi="Times New Roman" w:cs="Times New Roman"/>
        </w:rPr>
        <w:t>Parakh</w:t>
      </w:r>
      <w:proofErr w:type="spellEnd"/>
      <w:r w:rsidRPr="009753F3">
        <w:rPr>
          <w:rFonts w:ascii="Times New Roman" w:hAnsi="Times New Roman" w:cs="Times New Roman"/>
        </w:rPr>
        <w:t xml:space="preserve"> R, Desai S, Das A, </w:t>
      </w:r>
      <w:proofErr w:type="spellStart"/>
      <w:r w:rsidRPr="009753F3">
        <w:rPr>
          <w:rFonts w:ascii="Times New Roman" w:hAnsi="Times New Roman" w:cs="Times New Roman"/>
        </w:rPr>
        <w:t>Gottipamula</w:t>
      </w:r>
      <w:proofErr w:type="spellEnd"/>
      <w:r w:rsidRPr="009753F3">
        <w:rPr>
          <w:rFonts w:ascii="Times New Roman" w:hAnsi="Times New Roman" w:cs="Times New Roman"/>
        </w:rPr>
        <w:t xml:space="preserve"> S, et al. A double blind randomized placebo controlled phase I/II study assessing the safety and efficacy of allogeneic bone marrow derived mesenchymal stem cell in critical limb ischemia. J </w:t>
      </w:r>
      <w:proofErr w:type="spellStart"/>
      <w:r w:rsidRPr="009753F3">
        <w:rPr>
          <w:rFonts w:ascii="Times New Roman" w:hAnsi="Times New Roman" w:cs="Times New Roman"/>
        </w:rPr>
        <w:t>Transl</w:t>
      </w:r>
      <w:proofErr w:type="spellEnd"/>
      <w:r w:rsidRPr="009753F3">
        <w:rPr>
          <w:rFonts w:ascii="Times New Roman" w:hAnsi="Times New Roman" w:cs="Times New Roman"/>
        </w:rPr>
        <w:t xml:space="preserve"> Med. 2013 Jun 10;11:143. </w:t>
      </w:r>
    </w:p>
    <w:p w14:paraId="2038D00A" w14:textId="77777777" w:rsidR="009753F3" w:rsidRPr="009753F3" w:rsidRDefault="009753F3" w:rsidP="009753F3">
      <w:pPr>
        <w:pStyle w:val="Bibliography"/>
        <w:rPr>
          <w:rFonts w:ascii="Times New Roman" w:hAnsi="Times New Roman" w:cs="Times New Roman"/>
        </w:rPr>
      </w:pPr>
      <w:r w:rsidRPr="009753F3">
        <w:rPr>
          <w:rFonts w:ascii="Times New Roman" w:hAnsi="Times New Roman" w:cs="Times New Roman"/>
        </w:rPr>
        <w:t xml:space="preserve">3. </w:t>
      </w:r>
      <w:r w:rsidRPr="009753F3">
        <w:rPr>
          <w:rFonts w:ascii="Times New Roman" w:hAnsi="Times New Roman" w:cs="Times New Roman"/>
        </w:rPr>
        <w:tab/>
      </w:r>
      <w:proofErr w:type="spellStart"/>
      <w:r w:rsidRPr="009753F3">
        <w:rPr>
          <w:rFonts w:ascii="Times New Roman" w:hAnsi="Times New Roman" w:cs="Times New Roman"/>
        </w:rPr>
        <w:t>Chullikana</w:t>
      </w:r>
      <w:proofErr w:type="spellEnd"/>
      <w:r w:rsidRPr="009753F3">
        <w:rPr>
          <w:rFonts w:ascii="Times New Roman" w:hAnsi="Times New Roman" w:cs="Times New Roman"/>
        </w:rPr>
        <w:t xml:space="preserve"> A, Majumdar AS, </w:t>
      </w:r>
      <w:proofErr w:type="spellStart"/>
      <w:r w:rsidRPr="009753F3">
        <w:rPr>
          <w:rFonts w:ascii="Times New Roman" w:hAnsi="Times New Roman" w:cs="Times New Roman"/>
        </w:rPr>
        <w:t>Gottipamula</w:t>
      </w:r>
      <w:proofErr w:type="spellEnd"/>
      <w:r w:rsidRPr="009753F3">
        <w:rPr>
          <w:rFonts w:ascii="Times New Roman" w:hAnsi="Times New Roman" w:cs="Times New Roman"/>
        </w:rPr>
        <w:t xml:space="preserve"> S, Krishnamurthy S, Kumar AS, Prakash VS, et al. Randomized, double-blind, phase I/II study of intravenous allogeneic mesenchymal stromal cells in acute myocardial infarction. </w:t>
      </w:r>
      <w:proofErr w:type="spellStart"/>
      <w:r w:rsidRPr="009753F3">
        <w:rPr>
          <w:rFonts w:ascii="Times New Roman" w:hAnsi="Times New Roman" w:cs="Times New Roman"/>
        </w:rPr>
        <w:t>Cytotherapy</w:t>
      </w:r>
      <w:proofErr w:type="spellEnd"/>
      <w:r w:rsidRPr="009753F3">
        <w:rPr>
          <w:rFonts w:ascii="Times New Roman" w:hAnsi="Times New Roman" w:cs="Times New Roman"/>
        </w:rPr>
        <w:t xml:space="preserve">. 2015 Mar;17(3):250–61. </w:t>
      </w:r>
    </w:p>
    <w:p w14:paraId="3E91DAF0" w14:textId="77777777" w:rsidR="009753F3" w:rsidRPr="009753F3" w:rsidRDefault="009753F3" w:rsidP="009753F3">
      <w:pPr>
        <w:pStyle w:val="Bibliography"/>
        <w:rPr>
          <w:rFonts w:ascii="Times New Roman" w:hAnsi="Times New Roman" w:cs="Times New Roman"/>
        </w:rPr>
      </w:pPr>
      <w:r w:rsidRPr="009753F3">
        <w:rPr>
          <w:rFonts w:ascii="Times New Roman" w:hAnsi="Times New Roman" w:cs="Times New Roman"/>
        </w:rPr>
        <w:t xml:space="preserve">4. </w:t>
      </w:r>
      <w:r w:rsidRPr="009753F3">
        <w:rPr>
          <w:rFonts w:ascii="Times New Roman" w:hAnsi="Times New Roman" w:cs="Times New Roman"/>
        </w:rPr>
        <w:tab/>
        <w:t xml:space="preserve">Prasad K, Sharma A, Garg A, Mohanty S, Bhatnagar S, Johri S, et al. Intravenous autologous bone marrow mononuclear stem cell therapy for ischemic stroke: a multicentric, randomized trial. Stroke. 2014 Dec;45(12):3618–24. </w:t>
      </w:r>
    </w:p>
    <w:p w14:paraId="7C88F1B7" w14:textId="77777777" w:rsidR="009753F3" w:rsidRPr="009753F3" w:rsidRDefault="009753F3" w:rsidP="009753F3">
      <w:pPr>
        <w:pStyle w:val="Bibliography"/>
        <w:rPr>
          <w:rFonts w:ascii="Times New Roman" w:hAnsi="Times New Roman" w:cs="Times New Roman"/>
        </w:rPr>
      </w:pPr>
      <w:r w:rsidRPr="009753F3">
        <w:rPr>
          <w:rFonts w:ascii="Times New Roman" w:hAnsi="Times New Roman" w:cs="Times New Roman"/>
        </w:rPr>
        <w:t xml:space="preserve">5. </w:t>
      </w:r>
      <w:r w:rsidRPr="009753F3">
        <w:rPr>
          <w:rFonts w:ascii="Times New Roman" w:hAnsi="Times New Roman" w:cs="Times New Roman"/>
        </w:rPr>
        <w:tab/>
        <w:t xml:space="preserve">Gupta PK, </w:t>
      </w:r>
      <w:proofErr w:type="spellStart"/>
      <w:r w:rsidRPr="009753F3">
        <w:rPr>
          <w:rFonts w:ascii="Times New Roman" w:hAnsi="Times New Roman" w:cs="Times New Roman"/>
        </w:rPr>
        <w:t>Chullikana</w:t>
      </w:r>
      <w:proofErr w:type="spellEnd"/>
      <w:r w:rsidRPr="009753F3">
        <w:rPr>
          <w:rFonts w:ascii="Times New Roman" w:hAnsi="Times New Roman" w:cs="Times New Roman"/>
        </w:rPr>
        <w:t xml:space="preserve"> A, </w:t>
      </w:r>
      <w:proofErr w:type="spellStart"/>
      <w:r w:rsidRPr="009753F3">
        <w:rPr>
          <w:rFonts w:ascii="Times New Roman" w:hAnsi="Times New Roman" w:cs="Times New Roman"/>
        </w:rPr>
        <w:t>Rengasamy</w:t>
      </w:r>
      <w:proofErr w:type="spellEnd"/>
      <w:r w:rsidRPr="009753F3">
        <w:rPr>
          <w:rFonts w:ascii="Times New Roman" w:hAnsi="Times New Roman" w:cs="Times New Roman"/>
        </w:rPr>
        <w:t xml:space="preserve"> M, Shetty N, Pandey V, Agarwal V, et al. Efficacy and safety of adult human bone marrow-derived, cultured, pooled, allogeneic mesenchymal stromal cells (</w:t>
      </w:r>
      <w:proofErr w:type="spellStart"/>
      <w:r w:rsidRPr="009753F3">
        <w:rPr>
          <w:rFonts w:ascii="Times New Roman" w:hAnsi="Times New Roman" w:cs="Times New Roman"/>
        </w:rPr>
        <w:t>Stempeucel</w:t>
      </w:r>
      <w:proofErr w:type="spellEnd"/>
      <w:r w:rsidRPr="009753F3">
        <w:rPr>
          <w:rFonts w:ascii="Times New Roman" w:hAnsi="Times New Roman" w:cs="Times New Roman"/>
        </w:rPr>
        <w:t xml:space="preserve">®): preclinical and clinical trial in osteoarthritis of the knee joint. Arthritis Res </w:t>
      </w:r>
      <w:proofErr w:type="spellStart"/>
      <w:r w:rsidRPr="009753F3">
        <w:rPr>
          <w:rFonts w:ascii="Times New Roman" w:hAnsi="Times New Roman" w:cs="Times New Roman"/>
        </w:rPr>
        <w:t>Ther</w:t>
      </w:r>
      <w:proofErr w:type="spellEnd"/>
      <w:r w:rsidRPr="009753F3">
        <w:rPr>
          <w:rFonts w:ascii="Times New Roman" w:hAnsi="Times New Roman" w:cs="Times New Roman"/>
        </w:rPr>
        <w:t xml:space="preserve">. 2016 Dec 20;18(1):301. </w:t>
      </w:r>
    </w:p>
    <w:p w14:paraId="2EE45061" w14:textId="0F445BBC" w:rsidR="009753F3" w:rsidRPr="00E1479C" w:rsidRDefault="009753F3">
      <w:pPr>
        <w:rPr>
          <w:rFonts w:ascii="Times New Roman" w:hAnsi="Times New Roman" w:cs="Times New Roman"/>
          <w:lang w:val="en-US"/>
        </w:rPr>
      </w:pPr>
    </w:p>
    <w:sectPr w:rsidR="009753F3" w:rsidRPr="00E1479C" w:rsidSect="005B7F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362C9"/>
    <w:multiLevelType w:val="hybridMultilevel"/>
    <w:tmpl w:val="024A2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16F2"/>
    <w:multiLevelType w:val="hybridMultilevel"/>
    <w:tmpl w:val="D98A381C"/>
    <w:lvl w:ilvl="0" w:tplc="0608B4B4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0" w:hanging="360"/>
      </w:pPr>
    </w:lvl>
    <w:lvl w:ilvl="2" w:tplc="0809001B" w:tentative="1">
      <w:start w:val="1"/>
      <w:numFmt w:val="lowerRoman"/>
      <w:lvlText w:val="%3."/>
      <w:lvlJc w:val="right"/>
      <w:pPr>
        <w:ind w:left="2050" w:hanging="180"/>
      </w:pPr>
    </w:lvl>
    <w:lvl w:ilvl="3" w:tplc="0809000F" w:tentative="1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490" w:hanging="360"/>
      </w:pPr>
    </w:lvl>
    <w:lvl w:ilvl="5" w:tplc="0809001B" w:tentative="1">
      <w:start w:val="1"/>
      <w:numFmt w:val="lowerRoman"/>
      <w:lvlText w:val="%6."/>
      <w:lvlJc w:val="right"/>
      <w:pPr>
        <w:ind w:left="4210" w:hanging="180"/>
      </w:pPr>
    </w:lvl>
    <w:lvl w:ilvl="6" w:tplc="0809000F" w:tentative="1">
      <w:start w:val="1"/>
      <w:numFmt w:val="decimal"/>
      <w:lvlText w:val="%7."/>
      <w:lvlJc w:val="left"/>
      <w:pPr>
        <w:ind w:left="4930" w:hanging="360"/>
      </w:pPr>
    </w:lvl>
    <w:lvl w:ilvl="7" w:tplc="08090019" w:tentative="1">
      <w:start w:val="1"/>
      <w:numFmt w:val="lowerLetter"/>
      <w:lvlText w:val="%8."/>
      <w:lvlJc w:val="left"/>
      <w:pPr>
        <w:ind w:left="5650" w:hanging="360"/>
      </w:pPr>
    </w:lvl>
    <w:lvl w:ilvl="8" w:tplc="08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6E340BDA"/>
    <w:multiLevelType w:val="hybridMultilevel"/>
    <w:tmpl w:val="87C4EB2C"/>
    <w:lvl w:ilvl="0" w:tplc="07DA7C92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0" w:hanging="360"/>
      </w:pPr>
    </w:lvl>
    <w:lvl w:ilvl="2" w:tplc="0809001B" w:tentative="1">
      <w:start w:val="1"/>
      <w:numFmt w:val="lowerRoman"/>
      <w:lvlText w:val="%3."/>
      <w:lvlJc w:val="right"/>
      <w:pPr>
        <w:ind w:left="2050" w:hanging="180"/>
      </w:pPr>
    </w:lvl>
    <w:lvl w:ilvl="3" w:tplc="0809000F" w:tentative="1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490" w:hanging="360"/>
      </w:pPr>
    </w:lvl>
    <w:lvl w:ilvl="5" w:tplc="0809001B" w:tentative="1">
      <w:start w:val="1"/>
      <w:numFmt w:val="lowerRoman"/>
      <w:lvlText w:val="%6."/>
      <w:lvlJc w:val="right"/>
      <w:pPr>
        <w:ind w:left="4210" w:hanging="180"/>
      </w:pPr>
    </w:lvl>
    <w:lvl w:ilvl="6" w:tplc="0809000F" w:tentative="1">
      <w:start w:val="1"/>
      <w:numFmt w:val="decimal"/>
      <w:lvlText w:val="%7."/>
      <w:lvlJc w:val="left"/>
      <w:pPr>
        <w:ind w:left="4930" w:hanging="360"/>
      </w:pPr>
    </w:lvl>
    <w:lvl w:ilvl="7" w:tplc="08090019" w:tentative="1">
      <w:start w:val="1"/>
      <w:numFmt w:val="lowerLetter"/>
      <w:lvlText w:val="%8."/>
      <w:lvlJc w:val="left"/>
      <w:pPr>
        <w:ind w:left="5650" w:hanging="360"/>
      </w:pPr>
    </w:lvl>
    <w:lvl w:ilvl="8" w:tplc="08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77C75106"/>
    <w:multiLevelType w:val="hybridMultilevel"/>
    <w:tmpl w:val="EB6A0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A6"/>
    <w:rsid w:val="00021148"/>
    <w:rsid w:val="0003042D"/>
    <w:rsid w:val="0005471C"/>
    <w:rsid w:val="000566F5"/>
    <w:rsid w:val="00061C08"/>
    <w:rsid w:val="0007551A"/>
    <w:rsid w:val="00103D4E"/>
    <w:rsid w:val="00356240"/>
    <w:rsid w:val="00362FC9"/>
    <w:rsid w:val="003D0668"/>
    <w:rsid w:val="00482CA5"/>
    <w:rsid w:val="005B7FF3"/>
    <w:rsid w:val="006449D5"/>
    <w:rsid w:val="00697955"/>
    <w:rsid w:val="006B7C37"/>
    <w:rsid w:val="006E0E6E"/>
    <w:rsid w:val="00723412"/>
    <w:rsid w:val="00753303"/>
    <w:rsid w:val="007D2650"/>
    <w:rsid w:val="008003E9"/>
    <w:rsid w:val="00912C29"/>
    <w:rsid w:val="00931672"/>
    <w:rsid w:val="009753F3"/>
    <w:rsid w:val="009D197B"/>
    <w:rsid w:val="00A042E1"/>
    <w:rsid w:val="00A4518A"/>
    <w:rsid w:val="00A70572"/>
    <w:rsid w:val="00A8349E"/>
    <w:rsid w:val="00AC48D0"/>
    <w:rsid w:val="00B36E70"/>
    <w:rsid w:val="00BD203A"/>
    <w:rsid w:val="00BF26FE"/>
    <w:rsid w:val="00BF2A3D"/>
    <w:rsid w:val="00C00AE5"/>
    <w:rsid w:val="00C211E6"/>
    <w:rsid w:val="00C31ABE"/>
    <w:rsid w:val="00CF7F88"/>
    <w:rsid w:val="00D1748D"/>
    <w:rsid w:val="00DC6B72"/>
    <w:rsid w:val="00E1479C"/>
    <w:rsid w:val="00E4571C"/>
    <w:rsid w:val="00E95133"/>
    <w:rsid w:val="00EE75A6"/>
    <w:rsid w:val="00F27117"/>
    <w:rsid w:val="00F44F48"/>
    <w:rsid w:val="00F462A4"/>
    <w:rsid w:val="00F54608"/>
    <w:rsid w:val="00F85D48"/>
    <w:rsid w:val="00FA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B641D"/>
  <w15:chartTrackingRefBased/>
  <w15:docId w15:val="{3356CA3D-182A-4333-A000-644461F5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2711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46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2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2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F7F88"/>
    <w:pPr>
      <w:ind w:left="720"/>
      <w:contextualSpacing/>
    </w:pPr>
  </w:style>
  <w:style w:type="paragraph" w:styleId="Revision">
    <w:name w:val="Revision"/>
    <w:hidden/>
    <w:uiPriority w:val="99"/>
    <w:semiHidden/>
    <w:rsid w:val="005B7FF3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9753F3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 Kesavan</dc:creator>
  <cp:keywords/>
  <dc:description/>
  <cp:lastModifiedBy>Gokul Kesavan</cp:lastModifiedBy>
  <cp:revision>3</cp:revision>
  <dcterms:created xsi:type="dcterms:W3CDTF">2021-05-03T06:35:00Z</dcterms:created>
  <dcterms:modified xsi:type="dcterms:W3CDTF">2021-05-03T14:02:00Z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zotero-version="5.0.96"&gt;&lt;session id="6HiDcbaU"/&gt;&lt;style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