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DD" w:rsidRPr="00A14AC3" w:rsidRDefault="00BB6DDD" w:rsidP="00BB6DDD">
      <w:pPr>
        <w:pStyle w:val="1"/>
        <w:numPr>
          <w:ilvl w:val="0"/>
          <w:numId w:val="0"/>
        </w:numPr>
        <w:ind w:left="432" w:hanging="432"/>
        <w:rPr>
          <w:lang w:val="en-GB"/>
        </w:rPr>
      </w:pPr>
      <w:bookmarkStart w:id="0" w:name="_Toc130370972"/>
      <w:bookmarkStart w:id="1" w:name="_GoBack"/>
      <w:bookmarkEnd w:id="1"/>
      <w:r w:rsidRPr="00A14AC3">
        <w:rPr>
          <w:lang w:val="en-GB"/>
        </w:rPr>
        <w:t>Annexes</w:t>
      </w:r>
      <w:bookmarkEnd w:id="0"/>
    </w:p>
    <w:p w:rsidR="00BB6DDD" w:rsidRPr="00A14AC3" w:rsidRDefault="00BB6DDD" w:rsidP="00BB6DDD">
      <w:pPr>
        <w:pStyle w:val="2"/>
        <w:rPr>
          <w:lang w:val="en-GB"/>
        </w:rPr>
      </w:pPr>
      <w:bookmarkStart w:id="2" w:name="_Toc127902435"/>
      <w:bookmarkStart w:id="3" w:name="_Toc127908459"/>
      <w:bookmarkStart w:id="4" w:name="_Ref87516380"/>
      <w:bookmarkStart w:id="5" w:name="_Toc107170675"/>
      <w:bookmarkStart w:id="6" w:name="_Toc127954403"/>
      <w:bookmarkStart w:id="7" w:name="_Toc127992469"/>
      <w:bookmarkStart w:id="8" w:name="_Toc130370974"/>
      <w:bookmarkStart w:id="9" w:name="_Toc130370973"/>
      <w:r w:rsidRPr="00A14AC3">
        <w:rPr>
          <w:lang w:val="en-GB"/>
        </w:rPr>
        <w:t>Annex 01: Economy sector– Employment</w:t>
      </w:r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1403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56"/>
        <w:gridCol w:w="3162"/>
        <w:gridCol w:w="2022"/>
        <w:gridCol w:w="5850"/>
        <w:gridCol w:w="2340"/>
      </w:tblGrid>
      <w:tr w:rsidR="00BB6DDD" w:rsidRPr="00A14AC3" w:rsidTr="008166DA">
        <w:trPr>
          <w:trHeight w:val="300"/>
        </w:trPr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Employment by A*10 industry breakdowns (</w:t>
            </w:r>
            <w:r w:rsidRPr="00A14AC3">
              <w:rPr>
                <w:rFonts w:cs="Calibri"/>
                <w:b/>
                <w:bCs/>
                <w:i/>
                <w:iCs/>
                <w:color w:val="000000"/>
              </w:rPr>
              <w:t>nama_10_a10_e</w:t>
            </w:r>
            <w:r w:rsidRPr="00A14AC3">
              <w:rPr>
                <w:rFonts w:cs="Calibri"/>
                <w:b/>
                <w:bCs/>
                <w:color w:val="000000"/>
              </w:rPr>
              <w:t>)</w:t>
            </w:r>
          </w:p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NACE Rev. 2 - Statistical classification of economic activities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Complete energy balance (</w:t>
            </w:r>
            <w:proofErr w:type="spellStart"/>
            <w:r w:rsidRPr="00A14AC3">
              <w:rPr>
                <w:rFonts w:cs="Calibri"/>
                <w:b/>
                <w:bCs/>
                <w:i/>
                <w:iCs/>
                <w:color w:val="000000"/>
              </w:rPr>
              <w:t>nrg_bal_c</w:t>
            </w:r>
            <w:proofErr w:type="spellEnd"/>
            <w:r w:rsidRPr="00A14AC3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Breakdown used</w:t>
            </w: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Agriculture, forestry, and fishing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FC_OTH_AF_E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other sectors – agriculture and forestry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Agriculture, forestry, and fishing</w:t>
            </w:r>
          </w:p>
        </w:tc>
      </w:tr>
      <w:tr w:rsidR="00BB6DDD" w:rsidRPr="00A14AC3" w:rsidTr="008166DA">
        <w:trPr>
          <w:trHeight w:val="10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FC_OTH_FISH_E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other sectors – fishing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Manufacturing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FC_IND_FBT_E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food, beverages, and tobacco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Manufacturing industry</w:t>
            </w: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FC_IND_TL_E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textile and leather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FC_IND_WP_E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wood and wood products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FC_IND_PPP_E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paper, pulp, and printing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NRG_PR_E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petroleum refineries (oil refineries)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FC_IND_CPC_E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chemical and petrochemical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FC_IND_NMM_E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non-metallic minerals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FC_IND_IS_E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iron and steel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NRG_CO_E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coke ovens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NRG_BF_E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blast furnaces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FC_IND_NFM_E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non-ferrous metals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FC_IND_MAC_E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machinery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FC_IND_TE_E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transport equipment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NRG_PF_E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patent fuel plants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NRG_BKBPB_E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brown coal briquettes and peat briquettes plants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NRG_CL_E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coal liquefaction plants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NRG_GTL_E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gas-to-liquids plants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NRG_CPP_E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charcoal production plants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NRG_NSP_E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not elsewhere specified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FC_IND_NSP_E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not elsewhere specified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7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lastRenderedPageBreak/>
              <w:t>B-E – C =</w:t>
            </w:r>
            <w:r w:rsidRPr="00A14AC3">
              <w:rPr>
                <w:rFonts w:cs="Calibri"/>
                <w:color w:val="000000"/>
              </w:rPr>
              <w:br/>
              <w:t>B +</w:t>
            </w:r>
            <w:r w:rsidRPr="00A14AC3">
              <w:rPr>
                <w:rFonts w:cs="Calibri"/>
                <w:color w:val="000000"/>
              </w:rPr>
              <w:br/>
              <w:t>D +</w:t>
            </w:r>
            <w:r w:rsidRPr="00A14AC3">
              <w:rPr>
                <w:rFonts w:cs="Calibri"/>
                <w:color w:val="000000"/>
              </w:rPr>
              <w:br/>
              <w:t>E</w:t>
            </w:r>
          </w:p>
        </w:tc>
        <w:tc>
          <w:tcPr>
            <w:tcW w:w="31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Industry (except construction) – Manufacturing = </w:t>
            </w:r>
            <w:r w:rsidRPr="00A14AC3">
              <w:rPr>
                <w:rFonts w:cs="Calibri"/>
                <w:color w:val="000000"/>
              </w:rPr>
              <w:br/>
              <w:t>Mining and quarrying</w:t>
            </w:r>
            <w:r w:rsidRPr="00A14AC3">
              <w:rPr>
                <w:rFonts w:cs="Calibri"/>
                <w:color w:val="000000"/>
              </w:rPr>
              <w:br/>
              <w:t>Electricity, gas, steam, and air conditioning supply</w:t>
            </w:r>
            <w:r w:rsidRPr="00A14AC3">
              <w:rPr>
                <w:rFonts w:cs="Calibri"/>
                <w:color w:val="000000"/>
              </w:rPr>
              <w:br/>
              <w:t>Water supply; sewerage, waste management and remediation activities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FC_IND_MQ_E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mining and quarrying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Other Industries</w:t>
            </w: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NRG_CM_E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coal mines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NRG_OIL_NG_E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oil and natural gas extraction plants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NRG_EHG_E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electricity and heat generation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NRG_GW_E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gas works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NRG_LNG_E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liquefaction and regasification plants (LNG)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NRG_BIOG_E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gasification plants for biogas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NRG_NI_E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nuclear industry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3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0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Not included</w:t>
            </w: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Construction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FC_IND_CON_E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construction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Construction Industry</w:t>
            </w: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G-I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Wholesale and retail trade, transport, accommodation, and food service activities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FC_OTH_CP_E</w:t>
            </w:r>
          </w:p>
        </w:tc>
        <w:tc>
          <w:tcPr>
            <w:tcW w:w="5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other sectors – commercial and public services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Commercial and public services</w:t>
            </w: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J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Information and communication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K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Financial and insurance activities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L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Real estate activities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M_N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Professional, scientific, and technical activities; administrative and support service activities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O-Q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Public administration, defense, education, human health, and social work activities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R-U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Arts, entertainment, and recreation; other service activities; activities of household and extra-territorial organizations and bodies</w:t>
            </w:r>
          </w:p>
        </w:tc>
        <w:tc>
          <w:tcPr>
            <w:tcW w:w="2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</w:tbl>
    <w:p w:rsidR="00BB6DDD" w:rsidRPr="00A14AC3" w:rsidRDefault="00BB6DDD" w:rsidP="00BB6DDD">
      <w:pPr>
        <w:jc w:val="left"/>
      </w:pPr>
      <w:r w:rsidRPr="00A14AC3">
        <w:br w:type="page"/>
      </w:r>
    </w:p>
    <w:p w:rsidR="00BB6DDD" w:rsidRPr="00A14AC3" w:rsidRDefault="00BB6DDD" w:rsidP="00BB6DDD">
      <w:pPr>
        <w:pStyle w:val="2"/>
        <w:rPr>
          <w:lang w:val="en-GB"/>
        </w:rPr>
      </w:pPr>
      <w:r w:rsidRPr="00A14AC3">
        <w:rPr>
          <w:lang w:val="en-GB"/>
        </w:rPr>
        <w:t>Annex 02: Industry sector – value added</w:t>
      </w:r>
      <w:bookmarkEnd w:id="9"/>
    </w:p>
    <w:tbl>
      <w:tblPr>
        <w:tblW w:w="14120" w:type="dxa"/>
        <w:tblLook w:val="04A0" w:firstRow="1" w:lastRow="0" w:firstColumn="1" w:lastColumn="0" w:noHBand="0" w:noVBand="1"/>
      </w:tblPr>
      <w:tblGrid>
        <w:gridCol w:w="1035"/>
        <w:gridCol w:w="4985"/>
        <w:gridCol w:w="1722"/>
        <w:gridCol w:w="4128"/>
        <w:gridCol w:w="2250"/>
      </w:tblGrid>
      <w:tr w:rsidR="00BB6DDD" w:rsidRPr="00A14AC3" w:rsidTr="008166DA">
        <w:trPr>
          <w:cantSplit/>
          <w:trHeight w:val="322"/>
        </w:trPr>
        <w:tc>
          <w:tcPr>
            <w:tcW w:w="6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National accounts aggregate by industry data (</w:t>
            </w:r>
            <w:r w:rsidRPr="00A14AC3">
              <w:rPr>
                <w:rFonts w:cs="Calibri"/>
                <w:b/>
                <w:bCs/>
                <w:i/>
                <w:iCs/>
                <w:color w:val="000000"/>
              </w:rPr>
              <w:t>nama_10_a64</w:t>
            </w:r>
            <w:r w:rsidRPr="00A14AC3">
              <w:rPr>
                <w:rFonts w:cs="Calibri"/>
                <w:b/>
                <w:bCs/>
                <w:color w:val="000000"/>
              </w:rPr>
              <w:t>)</w:t>
            </w:r>
          </w:p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NACE Rev. 2 - Statistical classification of economic activities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Complete energy balance (</w:t>
            </w:r>
            <w:proofErr w:type="spellStart"/>
            <w:r w:rsidRPr="00A14AC3">
              <w:rPr>
                <w:rFonts w:cs="Calibri"/>
                <w:b/>
                <w:bCs/>
                <w:i/>
                <w:iCs/>
                <w:color w:val="000000"/>
              </w:rPr>
              <w:t>nrg_bal_c</w:t>
            </w:r>
            <w:proofErr w:type="spellEnd"/>
            <w:r w:rsidRPr="00A14AC3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Breakdown used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Construction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FC_IND_CON_E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construction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Construction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B</w:t>
            </w:r>
          </w:p>
        </w:tc>
        <w:tc>
          <w:tcPr>
            <w:tcW w:w="4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Mining and quarrying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FC_IND_MQ_E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mining and quarrying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Mining and quarrying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NRG_CM_E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coal mines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NRG_OIL_NG_E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oil and natural gas extraction plants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C10-C12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food products; beverages and tobacco products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FC_IND_FBT_E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food, beverages, and tobacco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Food, beverages, and tobacco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C13-C15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textiles, wearing apparel, leather, and related products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FC_IND_TL_E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textile and leather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Textile and leather</w:t>
            </w:r>
          </w:p>
        </w:tc>
      </w:tr>
      <w:tr w:rsidR="00BB6DDD" w:rsidRPr="00A14AC3" w:rsidTr="008166DA">
        <w:trPr>
          <w:cantSplit/>
          <w:trHeight w:val="61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C16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wood and of products of wood and cork, except furniture; manufacture of articles of straw and plaiting materials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FC_IND_WP_E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wood and wood products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Wood and wood products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C17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paper and paper products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FC_IND_PPP_E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paper, pulp, and printing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Paper, pulp, and printing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C18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Printing and reproduction of recorded media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C19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coke and refined petroleum products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NRG_PR_E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petroleum refineries (oil refineries)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Coke and refined petroleum products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chemicals and chemical products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FC_IND_CPC_E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chemical and petrochemical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Chemical and petrochemical</w:t>
            </w:r>
          </w:p>
        </w:tc>
      </w:tr>
      <w:tr w:rsidR="00BB6DDD" w:rsidRPr="00A14AC3" w:rsidTr="008166DA">
        <w:trPr>
          <w:cantSplit/>
          <w:trHeight w:val="61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basic pharmaceutical products and pharmaceutical preparations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rubber and plastic products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FC_IND_NMM_E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non-metallic minerals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Non-metallic minerals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other non-metallic mineral products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C24</w:t>
            </w:r>
          </w:p>
        </w:tc>
        <w:tc>
          <w:tcPr>
            <w:tcW w:w="4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basic metals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FC_IND_IS_E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iron and steel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Basic metals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NRG_CO_E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coke ovens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NRG_BF_E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blast furnaces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FC_IND_NFM_E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non-ferrous metals</w:t>
            </w: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613"/>
        </w:trPr>
        <w:tc>
          <w:tcPr>
            <w:tcW w:w="10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C25</w:t>
            </w:r>
          </w:p>
        </w:tc>
        <w:tc>
          <w:tcPr>
            <w:tcW w:w="4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fabricated metal products, except machinery and equipment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FC_IND_MAC_E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machinery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Machinery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C26</w:t>
            </w:r>
          </w:p>
        </w:tc>
        <w:tc>
          <w:tcPr>
            <w:tcW w:w="4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computer, electronic and optical products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C27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electrical equipment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C28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Manufacture of machinery and equipment </w:t>
            </w:r>
            <w:proofErr w:type="spellStart"/>
            <w:r w:rsidRPr="00A14AC3">
              <w:rPr>
                <w:rFonts w:cs="Calibri"/>
                <w:color w:val="000000"/>
              </w:rPr>
              <w:t>n.e.c</w:t>
            </w:r>
            <w:proofErr w:type="spellEnd"/>
            <w:r w:rsidRPr="00A14AC3">
              <w:rPr>
                <w:rFonts w:cs="Calibri"/>
                <w:color w:val="000000"/>
              </w:rPr>
              <w:t>.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C29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motor vehicles, trailers, and semi-trailers</w:t>
            </w:r>
          </w:p>
        </w:tc>
        <w:tc>
          <w:tcPr>
            <w:tcW w:w="17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FC_IND_TE_E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transport equipment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Transport equipment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C30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other transport equipment</w:t>
            </w:r>
          </w:p>
        </w:tc>
        <w:tc>
          <w:tcPr>
            <w:tcW w:w="17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C31_C32</w:t>
            </w:r>
          </w:p>
        </w:tc>
        <w:tc>
          <w:tcPr>
            <w:tcW w:w="4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Manufacture of furniture; other manufacturing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NRG_PF_E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patent fuel plants</w:t>
            </w:r>
          </w:p>
        </w:tc>
        <w:tc>
          <w:tcPr>
            <w:tcW w:w="22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Other manufacturing</w:t>
            </w: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NRG_BKBPB_E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brown coal briquettes and peat briquettes plants</w:t>
            </w:r>
          </w:p>
        </w:tc>
        <w:tc>
          <w:tcPr>
            <w:tcW w:w="22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NRG_CL_E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coal liquefaction plants</w:t>
            </w:r>
          </w:p>
        </w:tc>
        <w:tc>
          <w:tcPr>
            <w:tcW w:w="22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NRG_GTL_E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gas-to-liquids plants</w:t>
            </w:r>
          </w:p>
        </w:tc>
        <w:tc>
          <w:tcPr>
            <w:tcW w:w="22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NRG_CPP_E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charcoal production plants</w:t>
            </w:r>
          </w:p>
        </w:tc>
        <w:tc>
          <w:tcPr>
            <w:tcW w:w="22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NRG_NSP_E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Energy sector – not elsewhere specified</w:t>
            </w:r>
          </w:p>
        </w:tc>
        <w:tc>
          <w:tcPr>
            <w:tcW w:w="225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22"/>
        </w:trPr>
        <w:tc>
          <w:tcPr>
            <w:tcW w:w="103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4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FC_IND_NSP_E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Final consumption – industry sector – not elsewhere specified</w:t>
            </w:r>
          </w:p>
        </w:tc>
        <w:tc>
          <w:tcPr>
            <w:tcW w:w="22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C33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Repair and installation of machinery and equipment</w:t>
            </w:r>
          </w:p>
        </w:tc>
        <w:tc>
          <w:tcPr>
            <w:tcW w:w="810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vAlign w:val="center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Not included</w:t>
            </w: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D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Electricity, gas, steam, and air conditioning supply</w:t>
            </w:r>
          </w:p>
        </w:tc>
        <w:tc>
          <w:tcPr>
            <w:tcW w:w="81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cantSplit/>
          <w:trHeight w:val="306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E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Water supply; sewerage, waste management and remediation activities</w:t>
            </w:r>
          </w:p>
        </w:tc>
        <w:tc>
          <w:tcPr>
            <w:tcW w:w="81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</w:tbl>
    <w:p w:rsidR="00BB6DDD" w:rsidRPr="00A14AC3" w:rsidRDefault="00BB6DDD" w:rsidP="00BB6DDD">
      <w:pPr>
        <w:jc w:val="left"/>
        <w:rPr>
          <w:b/>
          <w:bCs/>
          <w:smallCaps/>
          <w:color w:val="403152" w:themeColor="accent4" w:themeShade="80"/>
          <w:highlight w:val="lightGray"/>
        </w:rPr>
      </w:pPr>
      <w:bookmarkStart w:id="10" w:name="_Ref82010326"/>
      <w:r w:rsidRPr="00A14AC3">
        <w:rPr>
          <w:color w:val="403152" w:themeColor="accent4" w:themeShade="80"/>
          <w:highlight w:val="lightGray"/>
        </w:rPr>
        <w:br w:type="page"/>
      </w:r>
    </w:p>
    <w:p w:rsidR="00BB6DDD" w:rsidRPr="00A14AC3" w:rsidRDefault="00BB6DDD" w:rsidP="00BB6DDD">
      <w:pPr>
        <w:pStyle w:val="2"/>
        <w:numPr>
          <w:ilvl w:val="1"/>
          <w:numId w:val="2"/>
        </w:numPr>
        <w:rPr>
          <w:lang w:val="en-GB"/>
        </w:rPr>
      </w:pPr>
      <w:bookmarkStart w:id="11" w:name="_Ref87523330"/>
      <w:bookmarkStart w:id="12" w:name="_Toc107170678"/>
      <w:bookmarkStart w:id="13" w:name="_Toc127902437"/>
      <w:bookmarkStart w:id="14" w:name="_Toc127908461"/>
      <w:bookmarkStart w:id="15" w:name="_Toc127954405"/>
      <w:bookmarkStart w:id="16" w:name="_Toc127992471"/>
      <w:bookmarkStart w:id="17" w:name="_Toc130370976"/>
      <w:bookmarkStart w:id="18" w:name="_Ref82034506"/>
      <w:bookmarkStart w:id="19" w:name="_Toc107170677"/>
      <w:bookmarkStart w:id="20" w:name="_Toc127902436"/>
      <w:bookmarkStart w:id="21" w:name="_Toc127908460"/>
      <w:bookmarkStart w:id="22" w:name="_Toc127954404"/>
      <w:bookmarkStart w:id="23" w:name="_Toc127992470"/>
      <w:bookmarkStart w:id="24" w:name="_Toc130370975"/>
      <w:bookmarkEnd w:id="10"/>
      <w:r w:rsidRPr="00A14AC3">
        <w:rPr>
          <w:lang w:val="en-GB"/>
        </w:rPr>
        <w:t xml:space="preserve">Annex 03: Residential sector </w:t>
      </w:r>
      <w:bookmarkEnd w:id="11"/>
      <w:r w:rsidRPr="00A14AC3">
        <w:rPr>
          <w:lang w:val="en-GB"/>
        </w:rPr>
        <w:t>- Final Uses</w:t>
      </w:r>
      <w:bookmarkEnd w:id="12"/>
      <w:bookmarkEnd w:id="13"/>
      <w:bookmarkEnd w:id="14"/>
      <w:bookmarkEnd w:id="15"/>
      <w:bookmarkEnd w:id="16"/>
      <w:bookmarkEnd w:id="17"/>
    </w:p>
    <w:tbl>
      <w:tblPr>
        <w:tblW w:w="11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1"/>
        <w:gridCol w:w="1977"/>
        <w:gridCol w:w="3073"/>
      </w:tblGrid>
      <w:tr w:rsidR="00BB6DDD" w:rsidRPr="00A14AC3" w:rsidTr="008166DA">
        <w:trPr>
          <w:trHeight w:val="300"/>
        </w:trPr>
        <w:tc>
          <w:tcPr>
            <w:tcW w:w="11811" w:type="dxa"/>
            <w:gridSpan w:val="3"/>
            <w:shd w:val="clear" w:color="auto" w:fill="auto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Eurostat datasets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 w:val="restart"/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Disaggregated final energy consumption in households (</w:t>
            </w:r>
            <w:proofErr w:type="spellStart"/>
            <w:r w:rsidRPr="00A14AC3">
              <w:rPr>
                <w:rFonts w:cs="Calibri"/>
                <w:i/>
                <w:iCs/>
                <w:color w:val="000000"/>
              </w:rPr>
              <w:t>nrg_d_hhq</w:t>
            </w:r>
            <w:proofErr w:type="spellEnd"/>
            <w:r w:rsidRPr="00A14AC3">
              <w:rPr>
                <w:rFonts w:cs="Calibri"/>
                <w:color w:val="000000"/>
              </w:rPr>
              <w:t>)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FC_OTH_HH_E_SH 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Space heating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FC_OTH_HH_E_SC 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Space cooling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FC_OTH_HH_E_WH 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Water heating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FC_OTH_HH_E_CK 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Cooking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FC_OTH_HH_E_LE 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Lighting and electrical appliances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 xml:space="preserve">FC_OTH_HH_E_OE 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Other end use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Demographic balance and crude rates at national level (</w:t>
            </w:r>
            <w:proofErr w:type="spellStart"/>
            <w:r w:rsidRPr="00A14AC3">
              <w:rPr>
                <w:rFonts w:cs="Calibri"/>
                <w:i/>
                <w:iCs/>
                <w:color w:val="000000"/>
              </w:rPr>
              <w:t>demo_gind</w:t>
            </w:r>
            <w:proofErr w:type="spellEnd"/>
            <w:r w:rsidRPr="00A14AC3">
              <w:rPr>
                <w:rFonts w:cs="Calibri"/>
                <w:color w:val="000000"/>
              </w:rPr>
              <w:t>)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AVG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Average population – total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Average household size – EU-SILC survey (</w:t>
            </w:r>
            <w:r w:rsidRPr="00A14AC3">
              <w:rPr>
                <w:rFonts w:cs="Calibri"/>
                <w:i/>
                <w:iCs/>
                <w:color w:val="000000"/>
              </w:rPr>
              <w:t>ilc_lvph01</w:t>
            </w:r>
            <w:r w:rsidRPr="00A14AC3">
              <w:rPr>
                <w:rFonts w:cs="Calibri"/>
                <w:color w:val="000000"/>
              </w:rPr>
              <w:t>)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AVG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 w:themeColor="text1"/>
              </w:rPr>
              <w:t>Average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 w:val="restart"/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Cooling and Heating Degree Days by country – annual data (</w:t>
            </w:r>
            <w:proofErr w:type="spellStart"/>
            <w:r w:rsidRPr="00A14AC3">
              <w:rPr>
                <w:rFonts w:cs="Calibri"/>
                <w:i/>
                <w:iCs/>
                <w:color w:val="000000"/>
              </w:rPr>
              <w:t>nrg_chdd_a</w:t>
            </w:r>
            <w:proofErr w:type="spellEnd"/>
            <w:r w:rsidRPr="00A14AC3">
              <w:rPr>
                <w:rFonts w:cs="Calibri"/>
                <w:color w:val="000000"/>
              </w:rPr>
              <w:t>)</w:t>
            </w: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HDD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Heating Degree Days</w:t>
            </w:r>
          </w:p>
        </w:tc>
      </w:tr>
      <w:tr w:rsidR="00BB6DDD" w:rsidRPr="00A14AC3" w:rsidTr="008166DA">
        <w:trPr>
          <w:trHeight w:val="300"/>
        </w:trPr>
        <w:tc>
          <w:tcPr>
            <w:tcW w:w="6761" w:type="dxa"/>
            <w:vMerge/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977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CDD</w:t>
            </w:r>
          </w:p>
        </w:tc>
        <w:tc>
          <w:tcPr>
            <w:tcW w:w="3073" w:type="dxa"/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Cooling Degree Days</w:t>
            </w:r>
          </w:p>
        </w:tc>
      </w:tr>
    </w:tbl>
    <w:p w:rsidR="00BB6DDD" w:rsidRPr="00A14AC3" w:rsidRDefault="00BB6DDD" w:rsidP="00BB6DDD">
      <w:pPr>
        <w:jc w:val="left"/>
        <w:sectPr w:rsidR="00BB6DDD" w:rsidRPr="00A14AC3" w:rsidSect="00BB6DDD">
          <w:pgSz w:w="16840" w:h="11907" w:orient="landscape" w:code="9"/>
          <w:pgMar w:top="1701" w:right="1843" w:bottom="1134" w:left="1418" w:header="568" w:footer="120" w:gutter="0"/>
          <w:paperSrc w:first="7" w:other="7"/>
          <w:cols w:space="720"/>
          <w:rtlGutter/>
          <w:docGrid w:linePitch="299"/>
        </w:sectPr>
      </w:pPr>
    </w:p>
    <w:p w:rsidR="00BB6DDD" w:rsidRPr="00A14AC3" w:rsidRDefault="00BB6DDD" w:rsidP="00BB6DDD">
      <w:pPr>
        <w:pStyle w:val="2"/>
        <w:rPr>
          <w:lang w:val="en-GB"/>
        </w:rPr>
      </w:pPr>
      <w:r w:rsidRPr="00A14AC3">
        <w:rPr>
          <w:lang w:val="en-GB"/>
        </w:rPr>
        <w:t>Annex 04: Transport sector mapping – Vehicle-Kilometre</w:t>
      </w:r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W w:w="14034" w:type="dxa"/>
        <w:tblLook w:val="04A0" w:firstRow="1" w:lastRow="0" w:firstColumn="1" w:lastColumn="0" w:noHBand="0" w:noVBand="1"/>
      </w:tblPr>
      <w:tblGrid>
        <w:gridCol w:w="1706"/>
        <w:gridCol w:w="796"/>
        <w:gridCol w:w="796"/>
        <w:gridCol w:w="1372"/>
        <w:gridCol w:w="4098"/>
        <w:gridCol w:w="1810"/>
        <w:gridCol w:w="2166"/>
        <w:gridCol w:w="1290"/>
      </w:tblGrid>
      <w:tr w:rsidR="00BB6DDD" w:rsidRPr="00A14AC3" w:rsidTr="008166DA">
        <w:trPr>
          <w:trHeight w:val="600"/>
        </w:trPr>
        <w:tc>
          <w:tcPr>
            <w:tcW w:w="8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Eurostat transport datasets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Complete energy balance (</w:t>
            </w:r>
            <w:proofErr w:type="spellStart"/>
            <w:r w:rsidRPr="00A14AC3">
              <w:rPr>
                <w:rFonts w:cs="Calibri"/>
                <w:b/>
                <w:bCs/>
                <w:i/>
                <w:iCs/>
                <w:color w:val="000000"/>
              </w:rPr>
              <w:t>nrg_bal_c</w:t>
            </w:r>
            <w:proofErr w:type="spellEnd"/>
            <w:r w:rsidRPr="00A14AC3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A14AC3">
              <w:rPr>
                <w:rFonts w:cs="Calibri"/>
                <w:b/>
                <w:bCs/>
                <w:color w:val="000000"/>
              </w:rPr>
              <w:t>Breakdown used</w:t>
            </w:r>
          </w:p>
        </w:tc>
      </w:tr>
      <w:tr w:rsidR="00BB6DDD" w:rsidRPr="00A14AC3" w:rsidTr="008166DA">
        <w:trPr>
          <w:trHeight w:val="300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bookmarkStart w:id="25" w:name="_Hlk128748306"/>
            <w:proofErr w:type="spellStart"/>
            <w:r w:rsidRPr="00A14AC3">
              <w:rPr>
                <w:rFonts w:cs="Calibri"/>
                <w:color w:val="000000"/>
              </w:rPr>
              <w:t>rail_tf_trainmv</w:t>
            </w:r>
            <w:proofErr w:type="spellEnd"/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FC_TRA_RAIL_E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Rail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Rail</w:t>
            </w:r>
          </w:p>
        </w:tc>
      </w:tr>
      <w:tr w:rsidR="00BB6DDD" w:rsidRPr="00A14AC3" w:rsidTr="008166DA">
        <w:trPr>
          <w:trHeight w:val="604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A14AC3">
              <w:rPr>
                <w:rFonts w:cs="Calibri"/>
                <w:color w:val="000000"/>
              </w:rPr>
              <w:t>road_tf_vehmov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D001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Motor vehicle movements on national territory (irrespective of registration country)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FC_TRA_ROAD_E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Road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Road</w:t>
            </w:r>
          </w:p>
        </w:tc>
      </w:tr>
      <w:tr w:rsidR="00BB6DDD" w:rsidRPr="00A14AC3" w:rsidTr="008166DA">
        <w:trPr>
          <w:trHeight w:val="226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proofErr w:type="spellStart"/>
            <w:r w:rsidRPr="00A14AC3">
              <w:rPr>
                <w:rFonts w:cs="Calibri"/>
                <w:color w:val="000000"/>
              </w:rPr>
              <w:t>iww_tf_vetf</w:t>
            </w:r>
            <w:proofErr w:type="spellEnd"/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 transport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Total loaded and empty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FC_TRA_DNAVI_E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Domestic navigation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Water</w:t>
            </w:r>
          </w:p>
        </w:tc>
      </w:tr>
      <w:bookmarkEnd w:id="25"/>
      <w:tr w:rsidR="00BB6DDD" w:rsidRPr="00A14AC3" w:rsidTr="008166DA">
        <w:trPr>
          <w:trHeight w:val="300"/>
        </w:trPr>
        <w:tc>
          <w:tcPr>
            <w:tcW w:w="8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Not available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FC_TRA_DAVI_E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Domestic aviation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Not included</w:t>
            </w:r>
          </w:p>
        </w:tc>
      </w:tr>
      <w:tr w:rsidR="00BB6DDD" w:rsidRPr="00A14AC3" w:rsidTr="008166DA">
        <w:trPr>
          <w:trHeight w:val="300"/>
        </w:trPr>
        <w:tc>
          <w:tcPr>
            <w:tcW w:w="87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BB6DDD" w:rsidRPr="00A14AC3" w:rsidRDefault="00BB6DDD" w:rsidP="008166DA">
            <w:pPr>
              <w:jc w:val="center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Not applicable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FC_TRA_PIPE_E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Pipeline transport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  <w:tr w:rsidR="00BB6DDD" w:rsidRPr="00A14AC3" w:rsidTr="008166DA">
        <w:trPr>
          <w:trHeight w:val="300"/>
        </w:trPr>
        <w:tc>
          <w:tcPr>
            <w:tcW w:w="87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FC_TRA_NSP_E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  <w:r w:rsidRPr="00A14AC3">
              <w:rPr>
                <w:rFonts w:cs="Calibri"/>
                <w:color w:val="000000"/>
              </w:rPr>
              <w:t>Not elsewhere specified</w:t>
            </w: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B6DDD" w:rsidRPr="00A14AC3" w:rsidRDefault="00BB6DDD" w:rsidP="008166DA">
            <w:pPr>
              <w:jc w:val="left"/>
              <w:rPr>
                <w:rFonts w:cs="Calibri"/>
                <w:color w:val="000000"/>
              </w:rPr>
            </w:pPr>
          </w:p>
        </w:tc>
      </w:tr>
    </w:tbl>
    <w:p w:rsidR="00BB6DDD" w:rsidRPr="003D7BC6" w:rsidRDefault="00BB6DDD" w:rsidP="00BB6DDD"/>
    <w:p w:rsidR="000E5A08" w:rsidRDefault="000E5A08"/>
    <w:sectPr w:rsidR="000E5A08" w:rsidSect="008D534A">
      <w:type w:val="continuous"/>
      <w:pgSz w:w="16840" w:h="11907" w:orient="landscape" w:code="9"/>
      <w:pgMar w:top="1843" w:right="1843" w:bottom="1134" w:left="1418" w:header="568" w:footer="120" w:gutter="0"/>
      <w:paperSrc w:first="7" w:other="7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A62"/>
    <w:multiLevelType w:val="multilevel"/>
    <w:tmpl w:val="89586F7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/>
        <w:b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DD"/>
    <w:rsid w:val="000E5A08"/>
    <w:rsid w:val="00BB6DDD"/>
    <w:rsid w:val="00C812A0"/>
    <w:rsid w:val="00D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BB6DDD"/>
    <w:pPr>
      <w:widowControl/>
      <w:numPr>
        <w:numId w:val="1"/>
      </w:numPr>
      <w:spacing w:after="160" w:line="259" w:lineRule="auto"/>
      <w:ind w:firstLineChars="0"/>
      <w:contextualSpacing/>
      <w:outlineLvl w:val="0"/>
    </w:pPr>
    <w:rPr>
      <w:rFonts w:ascii="Times New Roman" w:eastAsiaTheme="minorEastAsia" w:hAnsi="Times New Roman"/>
      <w:b/>
      <w:bCs/>
      <w:kern w:val="2"/>
      <w:sz w:val="22"/>
      <w:szCs w:val="22"/>
      <w:lang w:val="fr-FR" w:eastAsia="en-US"/>
      <w14:ligatures w14:val="standardContextual"/>
    </w:rPr>
  </w:style>
  <w:style w:type="paragraph" w:styleId="2">
    <w:name w:val="heading 2"/>
    <w:basedOn w:val="a0"/>
    <w:next w:val="a"/>
    <w:link w:val="2Char"/>
    <w:uiPriority w:val="9"/>
    <w:unhideWhenUsed/>
    <w:qFormat/>
    <w:rsid w:val="00BB6DDD"/>
    <w:pPr>
      <w:widowControl/>
      <w:numPr>
        <w:ilvl w:val="1"/>
        <w:numId w:val="1"/>
      </w:numPr>
      <w:spacing w:after="160" w:line="259" w:lineRule="auto"/>
      <w:ind w:firstLineChars="0"/>
      <w:contextualSpacing/>
      <w:outlineLvl w:val="1"/>
    </w:pPr>
    <w:rPr>
      <w:rFonts w:ascii="Times New Roman" w:eastAsiaTheme="minorEastAsia" w:hAnsi="Times New Roman"/>
      <w:i/>
      <w:iCs/>
      <w:kern w:val="2"/>
      <w:sz w:val="22"/>
      <w:szCs w:val="22"/>
      <w:lang w:val="fr-F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6DDD"/>
    <w:pPr>
      <w:keepNext/>
      <w:keepLines/>
      <w:widowControl/>
      <w:numPr>
        <w:ilvl w:val="2"/>
        <w:numId w:val="1"/>
      </w:numPr>
      <w:spacing w:before="160" w:after="80" w:line="259" w:lineRule="auto"/>
      <w:outlineLvl w:val="2"/>
    </w:pPr>
    <w:rPr>
      <w:rFonts w:ascii="Times New Roman" w:eastAsiaTheme="majorEastAsia" w:hAnsi="Times New Roman"/>
      <w:kern w:val="2"/>
      <w:sz w:val="22"/>
      <w:szCs w:val="22"/>
      <w:lang w:val="en-GB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6DDD"/>
    <w:pPr>
      <w:keepNext/>
      <w:keepLines/>
      <w:widowControl/>
      <w:numPr>
        <w:ilvl w:val="4"/>
        <w:numId w:val="1"/>
      </w:numPr>
      <w:spacing w:before="80" w:after="40" w:line="259" w:lineRule="auto"/>
      <w:outlineLvl w:val="4"/>
    </w:pPr>
    <w:rPr>
      <w:rFonts w:ascii="Times New Roman" w:eastAsiaTheme="majorEastAsia" w:hAnsi="Times New Roman" w:cstheme="majorBidi"/>
      <w:color w:val="365F9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6DDD"/>
    <w:pPr>
      <w:keepNext/>
      <w:keepLines/>
      <w:widowControl/>
      <w:numPr>
        <w:ilvl w:val="5"/>
        <w:numId w:val="1"/>
      </w:numPr>
      <w:spacing w:before="40" w:line="259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6DDD"/>
    <w:pPr>
      <w:keepNext/>
      <w:keepLines/>
      <w:widowControl/>
      <w:numPr>
        <w:ilvl w:val="6"/>
        <w:numId w:val="1"/>
      </w:numPr>
      <w:spacing w:before="40" w:line="259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6DDD"/>
    <w:pPr>
      <w:keepNext/>
      <w:keepLines/>
      <w:widowControl/>
      <w:numPr>
        <w:ilvl w:val="7"/>
        <w:numId w:val="1"/>
      </w:numPr>
      <w:spacing w:line="259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6DDD"/>
    <w:pPr>
      <w:keepNext/>
      <w:keepLines/>
      <w:widowControl/>
      <w:numPr>
        <w:ilvl w:val="8"/>
        <w:numId w:val="1"/>
      </w:numPr>
      <w:spacing w:line="259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"/>
    <w:link w:val="a5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大标题 字符"/>
    <w:link w:val="a4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4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1"/>
    <w:link w:val="1"/>
    <w:uiPriority w:val="9"/>
    <w:rsid w:val="00BB6DDD"/>
    <w:rPr>
      <w:rFonts w:ascii="Times New Roman" w:eastAsiaTheme="minorEastAsia" w:hAnsi="Times New Roman"/>
      <w:b/>
      <w:bCs/>
      <w:kern w:val="2"/>
      <w:sz w:val="22"/>
      <w:szCs w:val="22"/>
      <w:lang w:val="fr-FR" w:eastAsia="en-US"/>
      <w14:ligatures w14:val="standardContextual"/>
    </w:rPr>
  </w:style>
  <w:style w:type="character" w:customStyle="1" w:styleId="2Char">
    <w:name w:val="标题 2 Char"/>
    <w:basedOn w:val="a1"/>
    <w:link w:val="2"/>
    <w:uiPriority w:val="9"/>
    <w:rsid w:val="00BB6DDD"/>
    <w:rPr>
      <w:rFonts w:ascii="Times New Roman" w:eastAsiaTheme="minorEastAsia" w:hAnsi="Times New Roman"/>
      <w:i/>
      <w:iCs/>
      <w:kern w:val="2"/>
      <w:sz w:val="22"/>
      <w:szCs w:val="22"/>
      <w:lang w:val="fr-FR" w:eastAsia="en-US"/>
      <w14:ligatures w14:val="standardContextual"/>
    </w:rPr>
  </w:style>
  <w:style w:type="character" w:customStyle="1" w:styleId="3Char">
    <w:name w:val="标题 3 Char"/>
    <w:basedOn w:val="a1"/>
    <w:link w:val="3"/>
    <w:uiPriority w:val="9"/>
    <w:rsid w:val="00BB6DDD"/>
    <w:rPr>
      <w:rFonts w:ascii="Times New Roman" w:eastAsiaTheme="majorEastAsia" w:hAnsi="Times New Roman"/>
      <w:kern w:val="2"/>
      <w:sz w:val="22"/>
      <w:szCs w:val="22"/>
      <w:lang w:val="en-GB" w:eastAsia="en-US"/>
      <w14:ligatures w14:val="standardContextual"/>
    </w:rPr>
  </w:style>
  <w:style w:type="character" w:customStyle="1" w:styleId="5Char">
    <w:name w:val="标题 5 Char"/>
    <w:basedOn w:val="a1"/>
    <w:link w:val="5"/>
    <w:uiPriority w:val="9"/>
    <w:semiHidden/>
    <w:rsid w:val="00BB6DDD"/>
    <w:rPr>
      <w:rFonts w:ascii="Times New Roman" w:eastAsiaTheme="majorEastAsia" w:hAnsi="Times New Roman" w:cstheme="majorBidi"/>
      <w:color w:val="365F9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6Char">
    <w:name w:val="标题 6 Char"/>
    <w:basedOn w:val="a1"/>
    <w:link w:val="6"/>
    <w:uiPriority w:val="9"/>
    <w:semiHidden/>
    <w:rsid w:val="00BB6DDD"/>
    <w:rPr>
      <w:rFonts w:ascii="Times New Roman" w:eastAsiaTheme="majorEastAsia" w:hAnsi="Times New Roman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character" w:customStyle="1" w:styleId="7Char">
    <w:name w:val="标题 7 Char"/>
    <w:basedOn w:val="a1"/>
    <w:link w:val="7"/>
    <w:uiPriority w:val="9"/>
    <w:semiHidden/>
    <w:rsid w:val="00BB6DDD"/>
    <w:rPr>
      <w:rFonts w:ascii="Times New Roman" w:eastAsiaTheme="majorEastAsia" w:hAnsi="Times New Roman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character" w:customStyle="1" w:styleId="8Char">
    <w:name w:val="标题 8 Char"/>
    <w:basedOn w:val="a1"/>
    <w:link w:val="8"/>
    <w:uiPriority w:val="9"/>
    <w:semiHidden/>
    <w:rsid w:val="00BB6DDD"/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customStyle="1" w:styleId="9Char">
    <w:name w:val="标题 9 Char"/>
    <w:basedOn w:val="a1"/>
    <w:link w:val="9"/>
    <w:uiPriority w:val="9"/>
    <w:semiHidden/>
    <w:rsid w:val="00BB6DDD"/>
    <w:rPr>
      <w:rFonts w:ascii="Times New Roman" w:eastAsiaTheme="majorEastAsia" w:hAnsi="Times New Roman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a0">
    <w:name w:val="List Paragraph"/>
    <w:basedOn w:val="a"/>
    <w:uiPriority w:val="34"/>
    <w:rsid w:val="00BB6D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0"/>
    <w:next w:val="a"/>
    <w:link w:val="1Char"/>
    <w:uiPriority w:val="9"/>
    <w:qFormat/>
    <w:rsid w:val="00BB6DDD"/>
    <w:pPr>
      <w:widowControl/>
      <w:numPr>
        <w:numId w:val="1"/>
      </w:numPr>
      <w:spacing w:after="160" w:line="259" w:lineRule="auto"/>
      <w:ind w:firstLineChars="0"/>
      <w:contextualSpacing/>
      <w:outlineLvl w:val="0"/>
    </w:pPr>
    <w:rPr>
      <w:rFonts w:ascii="Times New Roman" w:eastAsiaTheme="minorEastAsia" w:hAnsi="Times New Roman"/>
      <w:b/>
      <w:bCs/>
      <w:kern w:val="2"/>
      <w:sz w:val="22"/>
      <w:szCs w:val="22"/>
      <w:lang w:val="fr-FR" w:eastAsia="en-US"/>
      <w14:ligatures w14:val="standardContextual"/>
    </w:rPr>
  </w:style>
  <w:style w:type="paragraph" w:styleId="2">
    <w:name w:val="heading 2"/>
    <w:basedOn w:val="a0"/>
    <w:next w:val="a"/>
    <w:link w:val="2Char"/>
    <w:uiPriority w:val="9"/>
    <w:unhideWhenUsed/>
    <w:qFormat/>
    <w:rsid w:val="00BB6DDD"/>
    <w:pPr>
      <w:widowControl/>
      <w:numPr>
        <w:ilvl w:val="1"/>
        <w:numId w:val="1"/>
      </w:numPr>
      <w:spacing w:after="160" w:line="259" w:lineRule="auto"/>
      <w:ind w:firstLineChars="0"/>
      <w:contextualSpacing/>
      <w:outlineLvl w:val="1"/>
    </w:pPr>
    <w:rPr>
      <w:rFonts w:ascii="Times New Roman" w:eastAsiaTheme="minorEastAsia" w:hAnsi="Times New Roman"/>
      <w:i/>
      <w:iCs/>
      <w:kern w:val="2"/>
      <w:sz w:val="22"/>
      <w:szCs w:val="22"/>
      <w:lang w:val="fr-FR"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unhideWhenUsed/>
    <w:qFormat/>
    <w:rsid w:val="00BB6DDD"/>
    <w:pPr>
      <w:keepNext/>
      <w:keepLines/>
      <w:widowControl/>
      <w:numPr>
        <w:ilvl w:val="2"/>
        <w:numId w:val="1"/>
      </w:numPr>
      <w:spacing w:before="160" w:after="80" w:line="259" w:lineRule="auto"/>
      <w:outlineLvl w:val="2"/>
    </w:pPr>
    <w:rPr>
      <w:rFonts w:ascii="Times New Roman" w:eastAsiaTheme="majorEastAsia" w:hAnsi="Times New Roman"/>
      <w:kern w:val="2"/>
      <w:sz w:val="22"/>
      <w:szCs w:val="22"/>
      <w:lang w:val="en-GB"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B6DDD"/>
    <w:pPr>
      <w:keepNext/>
      <w:keepLines/>
      <w:widowControl/>
      <w:numPr>
        <w:ilvl w:val="4"/>
        <w:numId w:val="1"/>
      </w:numPr>
      <w:spacing w:before="80" w:after="40" w:line="259" w:lineRule="auto"/>
      <w:outlineLvl w:val="4"/>
    </w:pPr>
    <w:rPr>
      <w:rFonts w:ascii="Times New Roman" w:eastAsiaTheme="majorEastAsia" w:hAnsi="Times New Roman" w:cstheme="majorBidi"/>
      <w:color w:val="365F91" w:themeColor="accent1" w:themeShade="BF"/>
      <w:kern w:val="2"/>
      <w:sz w:val="22"/>
      <w:szCs w:val="22"/>
      <w:lang w:val="en-GB"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B6DDD"/>
    <w:pPr>
      <w:keepNext/>
      <w:keepLines/>
      <w:widowControl/>
      <w:numPr>
        <w:ilvl w:val="5"/>
        <w:numId w:val="1"/>
      </w:numPr>
      <w:spacing w:before="40" w:line="259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B6DDD"/>
    <w:pPr>
      <w:keepNext/>
      <w:keepLines/>
      <w:widowControl/>
      <w:numPr>
        <w:ilvl w:val="6"/>
        <w:numId w:val="1"/>
      </w:numPr>
      <w:spacing w:before="40" w:line="259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B6DDD"/>
    <w:pPr>
      <w:keepNext/>
      <w:keepLines/>
      <w:widowControl/>
      <w:numPr>
        <w:ilvl w:val="7"/>
        <w:numId w:val="1"/>
      </w:numPr>
      <w:spacing w:line="259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B6DDD"/>
    <w:pPr>
      <w:keepNext/>
      <w:keepLines/>
      <w:widowControl/>
      <w:numPr>
        <w:ilvl w:val="8"/>
        <w:numId w:val="1"/>
      </w:numPr>
      <w:spacing w:line="259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"/>
    <w:link w:val="a5"/>
    <w:qFormat/>
    <w:rsid w:val="00C812A0"/>
    <w:rPr>
      <w:rFonts w:ascii="Times New Roman" w:eastAsia="Times New Roman" w:hAnsi="Times New Roman"/>
      <w:kern w:val="2"/>
      <w:sz w:val="24"/>
      <w:szCs w:val="22"/>
    </w:rPr>
  </w:style>
  <w:style w:type="character" w:customStyle="1" w:styleId="a5">
    <w:name w:val="大标题 字符"/>
    <w:link w:val="a4"/>
    <w:rsid w:val="00C812A0"/>
    <w:rPr>
      <w:rFonts w:ascii="Times New Roman" w:eastAsia="Times New Roman" w:hAnsi="Times New Roman"/>
      <w:kern w:val="2"/>
      <w:sz w:val="24"/>
      <w:szCs w:val="22"/>
    </w:rPr>
  </w:style>
  <w:style w:type="paragraph" w:customStyle="1" w:styleId="10">
    <w:name w:val="正文1"/>
    <w:basedOn w:val="a4"/>
    <w:link w:val="11"/>
    <w:qFormat/>
    <w:rsid w:val="00C812A0"/>
    <w:pPr>
      <w:adjustRightInd w:val="0"/>
      <w:snapToGrid w:val="0"/>
      <w:ind w:firstLineChars="200" w:firstLine="200"/>
    </w:pPr>
    <w:rPr>
      <w:sz w:val="20"/>
      <w:lang w:val="en-AU"/>
    </w:rPr>
  </w:style>
  <w:style w:type="character" w:customStyle="1" w:styleId="11">
    <w:name w:val="正文1 字符"/>
    <w:link w:val="10"/>
    <w:rsid w:val="00C812A0"/>
    <w:rPr>
      <w:rFonts w:ascii="Times New Roman" w:eastAsia="Times New Roman" w:hAnsi="Times New Roman"/>
      <w:kern w:val="2"/>
      <w:szCs w:val="22"/>
      <w:lang w:val="en-AU"/>
    </w:rPr>
  </w:style>
  <w:style w:type="character" w:customStyle="1" w:styleId="1Char">
    <w:name w:val="标题 1 Char"/>
    <w:basedOn w:val="a1"/>
    <w:link w:val="1"/>
    <w:uiPriority w:val="9"/>
    <w:rsid w:val="00BB6DDD"/>
    <w:rPr>
      <w:rFonts w:ascii="Times New Roman" w:eastAsiaTheme="minorEastAsia" w:hAnsi="Times New Roman"/>
      <w:b/>
      <w:bCs/>
      <w:kern w:val="2"/>
      <w:sz w:val="22"/>
      <w:szCs w:val="22"/>
      <w:lang w:val="fr-FR" w:eastAsia="en-US"/>
      <w14:ligatures w14:val="standardContextual"/>
    </w:rPr>
  </w:style>
  <w:style w:type="character" w:customStyle="1" w:styleId="2Char">
    <w:name w:val="标题 2 Char"/>
    <w:basedOn w:val="a1"/>
    <w:link w:val="2"/>
    <w:uiPriority w:val="9"/>
    <w:rsid w:val="00BB6DDD"/>
    <w:rPr>
      <w:rFonts w:ascii="Times New Roman" w:eastAsiaTheme="minorEastAsia" w:hAnsi="Times New Roman"/>
      <w:i/>
      <w:iCs/>
      <w:kern w:val="2"/>
      <w:sz w:val="22"/>
      <w:szCs w:val="22"/>
      <w:lang w:val="fr-FR" w:eastAsia="en-US"/>
      <w14:ligatures w14:val="standardContextual"/>
    </w:rPr>
  </w:style>
  <w:style w:type="character" w:customStyle="1" w:styleId="3Char">
    <w:name w:val="标题 3 Char"/>
    <w:basedOn w:val="a1"/>
    <w:link w:val="3"/>
    <w:uiPriority w:val="9"/>
    <w:rsid w:val="00BB6DDD"/>
    <w:rPr>
      <w:rFonts w:ascii="Times New Roman" w:eastAsiaTheme="majorEastAsia" w:hAnsi="Times New Roman"/>
      <w:kern w:val="2"/>
      <w:sz w:val="22"/>
      <w:szCs w:val="22"/>
      <w:lang w:val="en-GB" w:eastAsia="en-US"/>
      <w14:ligatures w14:val="standardContextual"/>
    </w:rPr>
  </w:style>
  <w:style w:type="character" w:customStyle="1" w:styleId="5Char">
    <w:name w:val="标题 5 Char"/>
    <w:basedOn w:val="a1"/>
    <w:link w:val="5"/>
    <w:uiPriority w:val="9"/>
    <w:semiHidden/>
    <w:rsid w:val="00BB6DDD"/>
    <w:rPr>
      <w:rFonts w:ascii="Times New Roman" w:eastAsiaTheme="majorEastAsia" w:hAnsi="Times New Roman" w:cstheme="majorBidi"/>
      <w:color w:val="365F91" w:themeColor="accent1" w:themeShade="BF"/>
      <w:kern w:val="2"/>
      <w:sz w:val="22"/>
      <w:szCs w:val="22"/>
      <w:lang w:val="en-GB" w:eastAsia="en-US"/>
      <w14:ligatures w14:val="standardContextual"/>
    </w:rPr>
  </w:style>
  <w:style w:type="character" w:customStyle="1" w:styleId="6Char">
    <w:name w:val="标题 6 Char"/>
    <w:basedOn w:val="a1"/>
    <w:link w:val="6"/>
    <w:uiPriority w:val="9"/>
    <w:semiHidden/>
    <w:rsid w:val="00BB6DDD"/>
    <w:rPr>
      <w:rFonts w:ascii="Times New Roman" w:eastAsiaTheme="majorEastAsia" w:hAnsi="Times New Roman" w:cstheme="majorBidi"/>
      <w:i/>
      <w:iCs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character" w:customStyle="1" w:styleId="7Char">
    <w:name w:val="标题 7 Char"/>
    <w:basedOn w:val="a1"/>
    <w:link w:val="7"/>
    <w:uiPriority w:val="9"/>
    <w:semiHidden/>
    <w:rsid w:val="00BB6DDD"/>
    <w:rPr>
      <w:rFonts w:ascii="Times New Roman" w:eastAsiaTheme="majorEastAsia" w:hAnsi="Times New Roman" w:cstheme="majorBidi"/>
      <w:color w:val="595959" w:themeColor="text1" w:themeTint="A6"/>
      <w:kern w:val="2"/>
      <w:sz w:val="22"/>
      <w:szCs w:val="22"/>
      <w:lang w:val="en-GB" w:eastAsia="en-US"/>
      <w14:ligatures w14:val="standardContextual"/>
    </w:rPr>
  </w:style>
  <w:style w:type="character" w:customStyle="1" w:styleId="8Char">
    <w:name w:val="标题 8 Char"/>
    <w:basedOn w:val="a1"/>
    <w:link w:val="8"/>
    <w:uiPriority w:val="9"/>
    <w:semiHidden/>
    <w:rsid w:val="00BB6DDD"/>
    <w:rPr>
      <w:rFonts w:ascii="Times New Roman" w:eastAsiaTheme="majorEastAsia" w:hAnsi="Times New Roman" w:cstheme="majorBidi"/>
      <w:i/>
      <w:iCs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character" w:customStyle="1" w:styleId="9Char">
    <w:name w:val="标题 9 Char"/>
    <w:basedOn w:val="a1"/>
    <w:link w:val="9"/>
    <w:uiPriority w:val="9"/>
    <w:semiHidden/>
    <w:rsid w:val="00BB6DDD"/>
    <w:rPr>
      <w:rFonts w:ascii="Times New Roman" w:eastAsiaTheme="majorEastAsia" w:hAnsi="Times New Roman" w:cstheme="majorBidi"/>
      <w:color w:val="272727" w:themeColor="text1" w:themeTint="D8"/>
      <w:kern w:val="2"/>
      <w:sz w:val="22"/>
      <w:szCs w:val="22"/>
      <w:lang w:val="en-GB" w:eastAsia="en-US"/>
      <w14:ligatures w14:val="standardContextual"/>
    </w:rPr>
  </w:style>
  <w:style w:type="paragraph" w:styleId="a0">
    <w:name w:val="List Paragraph"/>
    <w:basedOn w:val="a"/>
    <w:uiPriority w:val="34"/>
    <w:rsid w:val="00BB6D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2024-06-25T05:56:00Z</dcterms:created>
  <dcterms:modified xsi:type="dcterms:W3CDTF">2024-06-25T05:56:00Z</dcterms:modified>
</cp:coreProperties>
</file>