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82" w:rsidRPr="00972E2A" w:rsidRDefault="00F84882" w:rsidP="00F8488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2E2A">
        <w:rPr>
          <w:rFonts w:ascii="Times New Roman" w:hAnsi="Times New Roman" w:cs="Times New Roman"/>
          <w:b/>
          <w:bCs/>
          <w:sz w:val="24"/>
          <w:szCs w:val="24"/>
          <w:lang w:val="en-US"/>
        </w:rPr>
        <w:t>A DECISION</w:t>
      </w:r>
      <w:r w:rsidR="004255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r w:rsidRPr="00972E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MAKING ALGORITHM FOR REHABILITATION AFTER STROKE: A GUIDE TO CHOOSE </w:t>
      </w:r>
      <w:r w:rsidR="0060765A">
        <w:rPr>
          <w:rFonts w:ascii="Times New Roman" w:hAnsi="Times New Roman" w:cs="Times New Roman"/>
          <w:b/>
          <w:bCs/>
          <w:sz w:val="24"/>
          <w:szCs w:val="24"/>
          <w:lang w:val="en-US"/>
        </w:rPr>
        <w:t>AN</w:t>
      </w:r>
      <w:r w:rsidRPr="00972E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APPROPRIATE AND SAFE TREADMILL TRAINING</w:t>
      </w:r>
    </w:p>
    <w:p w:rsidR="00CD23AA" w:rsidRDefault="00CD23AA" w:rsidP="002265D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23AA" w:rsidRPr="001A1F7A" w:rsidRDefault="00CD23AA" w:rsidP="002265D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1A1F7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Supplementary m</w:t>
      </w:r>
      <w:r w:rsidR="001A1F7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aterial</w:t>
      </w:r>
    </w:p>
    <w:p w:rsidR="00CD23AA" w:rsidRDefault="00CD23AA" w:rsidP="002265D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23AA" w:rsidRDefault="00CD23AA" w:rsidP="00113BF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44A4">
        <w:rPr>
          <w:rFonts w:ascii="Times New Roman" w:hAnsi="Times New Roman" w:cs="Times New Roman"/>
          <w:b/>
          <w:sz w:val="24"/>
          <w:szCs w:val="24"/>
          <w:lang w:val="en-US"/>
        </w:rPr>
        <w:t>MATERIAL AND METHODS</w:t>
      </w:r>
    </w:p>
    <w:p w:rsidR="00CD23AA" w:rsidRPr="003044A4" w:rsidRDefault="00CD23AA" w:rsidP="00113BF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23AA" w:rsidRPr="00583652" w:rsidRDefault="00CD23AA" w:rsidP="00113BF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ヒラギノ角ゴ Pro W3" w:hAnsi="Times New Roman" w:cs="Times New Roman"/>
          <w:i/>
          <w:kern w:val="1"/>
          <w:sz w:val="24"/>
          <w:szCs w:val="24"/>
          <w:shd w:val="clear" w:color="auto" w:fill="FFFFFF"/>
          <w:lang w:val="en-US" w:eastAsia="hi-IN" w:bidi="hi-IN"/>
        </w:rPr>
      </w:pPr>
      <w:r w:rsidRPr="00583652">
        <w:rPr>
          <w:rFonts w:ascii="Times New Roman" w:eastAsia="ヒラギノ角ゴ Pro W3" w:hAnsi="Times New Roman" w:cs="Times New Roman"/>
          <w:i/>
          <w:kern w:val="1"/>
          <w:sz w:val="24"/>
          <w:szCs w:val="24"/>
          <w:shd w:val="clear" w:color="auto" w:fill="FFFFFF"/>
          <w:lang w:val="en-US" w:eastAsia="hi-IN" w:bidi="hi-IN"/>
        </w:rPr>
        <w:t>Measurements</w:t>
      </w:r>
    </w:p>
    <w:p w:rsidR="00CD23AA" w:rsidRPr="002803FE" w:rsidRDefault="00CD23AA" w:rsidP="0095095C">
      <w:pPr>
        <w:autoSpaceDE w:val="0"/>
        <w:autoSpaceDN w:val="0"/>
        <w:adjustRightInd w:val="0"/>
        <w:spacing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 were retrieved from the following cl</w:t>
      </w:r>
      <w:r w:rsidRPr="00730F86">
        <w:rPr>
          <w:rFonts w:ascii="Times New Roman" w:hAnsi="Times New Roman" w:cs="Times New Roman"/>
          <w:sz w:val="24"/>
          <w:szCs w:val="24"/>
          <w:lang w:val="en-US"/>
        </w:rPr>
        <w:t>inical scales of demonstrated reliability</w:t>
      </w:r>
      <w:r w:rsidR="00A4002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30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which are routinely administered to</w:t>
      </w:r>
      <w:r w:rsidRPr="00730F86">
        <w:rPr>
          <w:rFonts w:ascii="Times New Roman" w:hAnsi="Times New Roman" w:cs="Times New Roman"/>
          <w:sz w:val="24"/>
          <w:szCs w:val="24"/>
          <w:lang w:val="en-US"/>
        </w:rPr>
        <w:t xml:space="preserve"> each patient </w:t>
      </w:r>
      <w:r>
        <w:rPr>
          <w:rFonts w:ascii="Times New Roman" w:hAnsi="Times New Roman" w:cs="Times New Roman"/>
          <w:sz w:val="24"/>
          <w:szCs w:val="24"/>
          <w:lang w:val="en-US"/>
        </w:rPr>
        <w:t>on admission and record</w:t>
      </w:r>
      <w:r w:rsidRPr="002803FE">
        <w:rPr>
          <w:rFonts w:ascii="Times New Roman" w:hAnsi="Times New Roman" w:cs="Times New Roman"/>
          <w:sz w:val="24"/>
          <w:szCs w:val="24"/>
          <w:lang w:val="en-US"/>
        </w:rPr>
        <w:t>ed in our Institutional database</w:t>
      </w:r>
      <w:r w:rsidR="00A4002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803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CD23AA" w:rsidRPr="002803FE" w:rsidRDefault="00CD23AA" w:rsidP="0042436E">
      <w:pPr>
        <w:pStyle w:val="Paragrafoelenco"/>
        <w:numPr>
          <w:ilvl w:val="0"/>
          <w:numId w:val="20"/>
        </w:numPr>
        <w:snapToGrid w:val="0"/>
        <w:spacing w:after="0" w:line="480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en-GB" w:eastAsia="ar-SA"/>
        </w:rPr>
      </w:pPr>
      <w:r w:rsidRPr="002803FE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The </w:t>
      </w:r>
      <w:r w:rsidRPr="002803FE">
        <w:rPr>
          <w:rFonts w:ascii="Times New Roman" w:hAnsi="Times New Roman" w:cs="Times New Roman"/>
          <w:b/>
          <w:sz w:val="24"/>
          <w:szCs w:val="24"/>
          <w:lang w:val="en-US" w:eastAsia="ar-SA"/>
        </w:rPr>
        <w:t>Cumulative Illness Rating Scale</w:t>
      </w:r>
      <w:r w:rsidRPr="002803FE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(</w:t>
      </w:r>
      <w:r w:rsidRPr="002803FE">
        <w:rPr>
          <w:rFonts w:ascii="Times New Roman" w:hAnsi="Times New Roman" w:cs="Times New Roman"/>
          <w:sz w:val="24"/>
          <w:szCs w:val="24"/>
          <w:lang w:val="en-US"/>
        </w:rPr>
        <w:t>CIRS</w:t>
      </w:r>
      <w:r w:rsidRPr="002803FE">
        <w:rPr>
          <w:rFonts w:ascii="Times New Roman" w:hAnsi="Times New Roman" w:cs="Times New Roman"/>
          <w:bCs/>
          <w:sz w:val="24"/>
          <w:szCs w:val="24"/>
          <w:lang w:val="en-US" w:eastAsia="ar-SA"/>
        </w:rPr>
        <w:t>)</w:t>
      </w:r>
      <w:r w:rsidRPr="00F810F3">
        <w:rPr>
          <w:rFonts w:ascii="Times New Roman" w:hAnsi="Times New Roman" w:cs="Times New Roman"/>
          <w:bCs/>
          <w:noProof/>
          <w:sz w:val="24"/>
          <w:szCs w:val="24"/>
          <w:vertAlign w:val="superscript"/>
          <w:lang w:val="en-US" w:eastAsia="ar-SA"/>
        </w:rPr>
        <w:t>1</w:t>
      </w:r>
      <w:r w:rsidRPr="002803FE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is used to evaluate comorbidities. This instrument measures disease burden in individuals with various chronic diseases giving information about severity and comorbidity concerning 14 organ systems, rating each organ system from 0 to 4. The present study considered the number of different organ systems involved (CIRS 1) or the number of organ systems with score &gt;3 (CIRS 2).</w:t>
      </w:r>
    </w:p>
    <w:p w:rsidR="00CD23AA" w:rsidRPr="002803FE" w:rsidRDefault="00CD23AA" w:rsidP="00566A73">
      <w:pPr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2803FE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The </w:t>
      </w:r>
      <w:r w:rsidRPr="002803FE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Functional Ambulation Classification (FAC)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 </w:t>
      </w:r>
      <w:r w:rsidRPr="00F810F3">
        <w:rPr>
          <w:rFonts w:ascii="Times New Roman" w:hAnsi="Times New Roman" w:cs="Times New Roman"/>
          <w:noProof/>
          <w:sz w:val="24"/>
          <w:szCs w:val="24"/>
          <w:vertAlign w:val="superscript"/>
          <w:lang w:val="en-US" w:eastAsia="ar-SA"/>
        </w:rPr>
        <w:t>2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803FE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is a qualitative scale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assessing</w:t>
      </w:r>
      <w:r w:rsidRPr="002803FE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the amount of human assistance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requir</w:t>
      </w:r>
      <w:r w:rsidRPr="002803FE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ed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with</w:t>
      </w:r>
      <w:r w:rsidRPr="002803FE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walking</w:t>
      </w:r>
      <w:r w:rsidRPr="002803FE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P</w:t>
      </w:r>
      <w:r w:rsidRPr="002803FE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atients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are rated</w:t>
      </w:r>
      <w:r w:rsidRPr="002803FE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from 0 = nonfunctional ambulation to 5 = ambulation-independent.</w:t>
      </w:r>
    </w:p>
    <w:p w:rsidR="00CD23AA" w:rsidRPr="00D000E4" w:rsidRDefault="00CD23AA" w:rsidP="00765720">
      <w:pPr>
        <w:numPr>
          <w:ilvl w:val="0"/>
          <w:numId w:val="13"/>
        </w:numPr>
        <w:suppressAutoHyphens/>
        <w:snapToGrid w:val="0"/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2803FE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The </w:t>
      </w:r>
      <w:r w:rsidRPr="002803FE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Functional Independence Measure (FIM)</w:t>
      </w:r>
      <w:r w:rsidRPr="00F810F3">
        <w:rPr>
          <w:rFonts w:ascii="Times New Roman" w:hAnsi="Times New Roman" w:cs="Times New Roman"/>
          <w:noProof/>
          <w:sz w:val="24"/>
          <w:szCs w:val="24"/>
          <w:vertAlign w:val="superscript"/>
          <w:lang w:val="en-US" w:eastAsia="ar-SA"/>
        </w:rPr>
        <w:t>3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803FE">
        <w:rPr>
          <w:rFonts w:ascii="Times New Roman" w:hAnsi="Times New Roman" w:cs="Times New Roman"/>
          <w:sz w:val="24"/>
          <w:szCs w:val="24"/>
          <w:lang w:val="en-US" w:eastAsia="ar-SA"/>
        </w:rPr>
        <w:t>assesses the patient’s degree of independence and need of assistance in performing basic ADLs. It is a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n</w:t>
      </w:r>
      <w:r w:rsidRPr="002803FE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18-item ordinal scale with7 levels ranging from 1 (total dependence) to 7 (total independence). The FIM can be subdivided into a 13-item motor subscale (eating, self-care, bathing, dressing upper body, dressing lower body, personal hygiene, bladder control, bowel control, transfer to bed/chair/wheelchair,</w:t>
      </w:r>
      <w:r w:rsidRPr="00D000E4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transfer to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toilet</w:t>
      </w:r>
      <w:r w:rsidRPr="00D000E4">
        <w:rPr>
          <w:rFonts w:ascii="Times New Roman" w:hAnsi="Times New Roman" w:cs="Times New Roman"/>
          <w:sz w:val="24"/>
          <w:szCs w:val="24"/>
          <w:lang w:val="en-US" w:eastAsia="ar-SA"/>
        </w:rPr>
        <w:t>, transfer to tub/shower,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walk </w:t>
      </w:r>
      <w:r w:rsidRPr="00D000E4">
        <w:rPr>
          <w:rFonts w:ascii="Times New Roman" w:hAnsi="Times New Roman" w:cs="Times New Roman"/>
          <w:sz w:val="24"/>
          <w:szCs w:val="24"/>
          <w:lang w:val="en-US" w:eastAsia="ar-SA"/>
        </w:rPr>
        <w:t>or wheelchair, stairs) and a 5-item cognitive subscale (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comprehension</w:t>
      </w:r>
      <w:r w:rsidRPr="00D000E4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expression, social interaction, problem solving, </w:t>
      </w:r>
      <w:r w:rsidRPr="00D000E4">
        <w:rPr>
          <w:rFonts w:ascii="Times New Roman" w:hAnsi="Times New Roman" w:cs="Times New Roman"/>
          <w:sz w:val="24"/>
          <w:szCs w:val="24"/>
          <w:lang w:val="en-US" w:eastAsia="ar-SA"/>
        </w:rPr>
        <w:lastRenderedPageBreak/>
        <w:t>memory). The motor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D000E4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subscale score ranges from 13 to 91 (motor-FIM) and the cognitive score from 5 to 35 (cognitive-FIM). The maximum total score is 126 and refers to the best performance.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The </w:t>
      </w:r>
      <w:r w:rsidRPr="00D000E4">
        <w:rPr>
          <w:rFonts w:ascii="Times New Roman" w:hAnsi="Times New Roman" w:cs="Times New Roman"/>
          <w:sz w:val="24"/>
          <w:szCs w:val="24"/>
          <w:lang w:val="en-US" w:eastAsia="ar-SA"/>
        </w:rPr>
        <w:t>FIM is administered by a qualified physiatrist.</w:t>
      </w:r>
    </w:p>
    <w:p w:rsidR="00CD23AA" w:rsidRDefault="00CD23AA" w:rsidP="00B80A7C">
      <w:pPr>
        <w:numPr>
          <w:ilvl w:val="0"/>
          <w:numId w:val="8"/>
        </w:numPr>
        <w:suppressAutoHyphens/>
        <w:snapToGrid w:val="0"/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The </w:t>
      </w:r>
      <w:bookmarkStart w:id="1" w:name="_Hlk36631847"/>
      <w:proofErr w:type="spellStart"/>
      <w:r w:rsidRPr="0036311E">
        <w:rPr>
          <w:rFonts w:ascii="Times New Roman" w:hAnsi="Times New Roman" w:cs="Times New Roman"/>
          <w:b/>
          <w:sz w:val="24"/>
          <w:szCs w:val="24"/>
          <w:lang w:val="en-US" w:eastAsia="ar-SA"/>
        </w:rPr>
        <w:t>Tinetti</w:t>
      </w:r>
      <w:proofErr w:type="spellEnd"/>
      <w:r w:rsidRPr="0036311E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Performance-Oriented Mobility Assessment</w:t>
      </w:r>
      <w:bookmarkEnd w:id="1"/>
      <w:r w:rsidRPr="00F810F3">
        <w:rPr>
          <w:rFonts w:ascii="Times New Roman" w:hAnsi="Times New Roman" w:cs="Times New Roman"/>
          <w:bCs/>
          <w:noProof/>
          <w:sz w:val="24"/>
          <w:szCs w:val="24"/>
          <w:vertAlign w:val="superscript"/>
          <w:lang w:val="en-US" w:eastAsia="ar-SA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>assesses patients’ balance from a clinical point of view, in eld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e</w:t>
      </w:r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rly (&gt; 64 years) and in healthy condition or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in patients </w:t>
      </w:r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suffering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from</w:t>
      </w:r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mild/moderate dementia, stroke,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or </w:t>
      </w:r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>Parkinson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’s disease</w:t>
      </w:r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.  The </w:t>
      </w:r>
      <w:proofErr w:type="spellStart"/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>Tinetti</w:t>
      </w:r>
      <w:proofErr w:type="spellEnd"/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scale has a balance (</w:t>
      </w:r>
      <w:proofErr w:type="spellStart"/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>Tinetti</w:t>
      </w:r>
      <w:proofErr w:type="spellEnd"/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A) and a gait (</w:t>
      </w:r>
      <w:proofErr w:type="spellStart"/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>Tinetti</w:t>
      </w:r>
      <w:proofErr w:type="spellEnd"/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B) component. Each item is scored on a 3-point ordinal scale ranging from 0 to 2. The maximum score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for </w:t>
      </w:r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A is 16,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for</w:t>
      </w:r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B is 12 and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for</w:t>
      </w:r>
      <w:r w:rsidRPr="0036311E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A+B is 28 (high scores indicate best performance).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Patients are classified into three main categories: </w:t>
      </w:r>
      <w:r w:rsidRPr="00765720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Inability to keep upright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(score</w:t>
      </w:r>
      <w:r w:rsidRPr="00765720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0-1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)</w:t>
      </w:r>
      <w:r w:rsidRPr="00765720">
        <w:rPr>
          <w:rFonts w:ascii="Times New Roman" w:hAnsi="Times New Roman" w:cs="Times New Roman"/>
          <w:sz w:val="24"/>
          <w:szCs w:val="24"/>
          <w:lang w:val="en-US" w:eastAsia="ar-SA"/>
        </w:rPr>
        <w:t>;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765720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Non autonomous or insecure walking posture - Risk of falls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(score</w:t>
      </w:r>
      <w:r w:rsidRPr="00765720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2-18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)</w:t>
      </w:r>
      <w:r w:rsidRPr="00765720">
        <w:rPr>
          <w:rFonts w:ascii="Times New Roman" w:hAnsi="Times New Roman" w:cs="Times New Roman"/>
          <w:sz w:val="24"/>
          <w:szCs w:val="24"/>
          <w:lang w:val="en-US" w:eastAsia="ar-SA"/>
        </w:rPr>
        <w:t>;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765720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Autonomous posture and walking - Low risk of falls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(score</w:t>
      </w:r>
      <w:r w:rsidRPr="00765720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19-28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)</w:t>
      </w:r>
      <w:r w:rsidRPr="00765720"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</w:p>
    <w:p w:rsidR="00CD23AA" w:rsidRPr="00765720" w:rsidRDefault="00CD23AA" w:rsidP="0036311E">
      <w:pPr>
        <w:suppressAutoHyphens/>
        <w:snapToGri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CD23AA" w:rsidRPr="00083AA5" w:rsidRDefault="00CD23AA" w:rsidP="00B80A7C">
      <w:pPr>
        <w:snapToGrid w:val="0"/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083AA5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following scale/s were used to assess</w:t>
      </w:r>
      <w:r w:rsidRPr="00083AA5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patients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’</w:t>
      </w:r>
      <w:r w:rsidRPr="00083AA5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risk of fall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profile</w:t>
      </w:r>
      <w:r w:rsidRPr="00083AA5">
        <w:rPr>
          <w:rFonts w:ascii="Times New Roman" w:hAnsi="Times New Roman" w:cs="Times New Roman"/>
          <w:bCs/>
          <w:sz w:val="24"/>
          <w:szCs w:val="24"/>
          <w:lang w:val="en-US" w:eastAsia="ar-SA"/>
        </w:rPr>
        <w:t>:</w:t>
      </w:r>
    </w:p>
    <w:p w:rsidR="00CD23AA" w:rsidRPr="009458EF" w:rsidRDefault="00CD23AA" w:rsidP="002C3C40">
      <w:pPr>
        <w:numPr>
          <w:ilvl w:val="1"/>
          <w:numId w:val="11"/>
        </w:numPr>
        <w:snapToGrid w:val="0"/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083AA5">
        <w:rPr>
          <w:rFonts w:ascii="Times New Roman" w:hAnsi="Times New Roman" w:cs="Times New Roman"/>
          <w:bCs/>
          <w:sz w:val="24"/>
          <w:szCs w:val="24"/>
          <w:lang w:val="en-US" w:eastAsia="ar-SA"/>
        </w:rPr>
        <w:t>The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083AA5">
        <w:rPr>
          <w:rFonts w:ascii="Times New Roman" w:hAnsi="Times New Roman" w:cs="Times New Roman"/>
          <w:b/>
          <w:sz w:val="24"/>
          <w:szCs w:val="24"/>
          <w:lang w:val="en-US" w:eastAsia="ar-SA"/>
        </w:rPr>
        <w:t>Morse Fall Scale</w:t>
      </w: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083AA5">
        <w:rPr>
          <w:rFonts w:ascii="Times New Roman" w:hAnsi="Times New Roman" w:cs="Times New Roman"/>
          <w:b/>
          <w:sz w:val="24"/>
          <w:szCs w:val="24"/>
          <w:lang w:val="en-US" w:eastAsia="ar-SA"/>
        </w:rPr>
        <w:t>(MFS)</w:t>
      </w:r>
      <w:r w:rsidRPr="00F810F3">
        <w:rPr>
          <w:rFonts w:ascii="Times New Roman" w:hAnsi="Times New Roman" w:cs="Times New Roman"/>
          <w:bCs/>
          <w:noProof/>
          <w:sz w:val="24"/>
          <w:szCs w:val="24"/>
          <w:vertAlign w:val="superscript"/>
          <w:lang w:val="en-US" w:eastAsia="ar-S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9458EF">
        <w:rPr>
          <w:rFonts w:ascii="Times New Roman" w:hAnsi="Times New Roman" w:cs="Times New Roman"/>
          <w:sz w:val="24"/>
          <w:szCs w:val="24"/>
          <w:lang w:val="en-US" w:eastAsia="ar-SA"/>
        </w:rPr>
        <w:t>consists of 6 questions that investigate: previous falls, the presence of pathologies at risk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of falls</w:t>
      </w:r>
      <w:r w:rsidRPr="009458E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mobility, intravenous therapy, gait and mental state. It is administered by the nurse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on admission</w:t>
      </w:r>
      <w:r w:rsidRPr="009458E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Based on the score (</w:t>
      </w:r>
      <w:r w:rsidRPr="009458EF">
        <w:rPr>
          <w:rFonts w:ascii="Times New Roman" w:hAnsi="Times New Roman" w:cs="Times New Roman"/>
          <w:sz w:val="24"/>
          <w:szCs w:val="24"/>
          <w:lang w:val="en-US" w:eastAsia="ar-SA"/>
        </w:rPr>
        <w:t>0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to </w:t>
      </w:r>
      <w:r w:rsidRPr="009458EF">
        <w:rPr>
          <w:rFonts w:ascii="Times New Roman" w:hAnsi="Times New Roman" w:cs="Times New Roman"/>
          <w:sz w:val="24"/>
          <w:szCs w:val="24"/>
          <w:lang w:val="en-US" w:eastAsia="ar-SA"/>
        </w:rPr>
        <w:t>150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), patients are classified as</w:t>
      </w:r>
      <w:r w:rsidRPr="009458E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low risk (0-24)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,</w:t>
      </w:r>
      <w:r w:rsidRPr="009458E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medium risk (25-50)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,</w:t>
      </w:r>
      <w:r w:rsidRPr="009458E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or</w:t>
      </w:r>
      <w:r w:rsidRPr="009458E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high risk (≥51)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</w:p>
    <w:p w:rsidR="00CD23AA" w:rsidRPr="00FA0DB4" w:rsidRDefault="00CD23AA" w:rsidP="002C3C40">
      <w:pPr>
        <w:numPr>
          <w:ilvl w:val="1"/>
          <w:numId w:val="11"/>
        </w:numPr>
        <w:snapToGrid w:val="0"/>
        <w:spacing w:after="0" w:line="480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If the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MFS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score is 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&gt;50,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patients are re-assessed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with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the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FA0DB4">
        <w:rPr>
          <w:rFonts w:ascii="Times New Roman" w:hAnsi="Times New Roman" w:cs="Times New Roman"/>
          <w:b/>
          <w:sz w:val="24"/>
          <w:szCs w:val="24"/>
          <w:lang w:val="en-US" w:eastAsia="ar-SA"/>
        </w:rPr>
        <w:t>Stratify</w:t>
      </w: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scale</w:t>
      </w:r>
      <w:r w:rsidRPr="00F810F3">
        <w:rPr>
          <w:rFonts w:ascii="Times New Roman" w:hAnsi="Times New Roman" w:cs="Times New Roman"/>
          <w:bCs/>
          <w:noProof/>
          <w:sz w:val="24"/>
          <w:szCs w:val="24"/>
          <w:vertAlign w:val="superscript"/>
          <w:lang w:val="en-US" w:eastAsia="ar-SA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. The Stratify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investigates 5 factors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that seek to convey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the patient's risk of falling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, but there is no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a cut-off value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given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to 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>indicat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e the presence of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fall risk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– we used 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the value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of 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2 for this study.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Each 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variable,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apar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t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from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the first which is verified by the detector on the clinical documentation,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is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obtain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ed </w:t>
      </w: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by interview from the primary nurse assigned </w:t>
      </w:r>
      <w:r w:rsidRPr="00FA0DB4">
        <w:rPr>
          <w:rFonts w:ascii="Times New Roman" w:hAnsi="Times New Roman" w:cs="Times New Roman"/>
          <w:bCs/>
          <w:sz w:val="24"/>
          <w:szCs w:val="24"/>
          <w:lang w:val="en-US" w:eastAsia="ar-SA"/>
        </w:rPr>
        <w:t>to the patient.</w:t>
      </w:r>
    </w:p>
    <w:p w:rsidR="00CD23AA" w:rsidRDefault="00CD23AA" w:rsidP="00113BF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23AA" w:rsidRDefault="00CD23AA" w:rsidP="00113BF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23AA" w:rsidRDefault="00CD23AA" w:rsidP="00113BF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23AA" w:rsidRDefault="00CD23AA" w:rsidP="00113BF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23AA" w:rsidRPr="007A2E63" w:rsidRDefault="00CD23AA" w:rsidP="00113BF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E6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RESULTS</w:t>
      </w:r>
    </w:p>
    <w:p w:rsidR="00CD23AA" w:rsidRDefault="00CD23AA" w:rsidP="007A2E63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D23AA" w:rsidRPr="00F40DCC" w:rsidRDefault="00CD23AA" w:rsidP="007A2E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0DCC">
        <w:rPr>
          <w:rFonts w:ascii="Times New Roman" w:hAnsi="Times New Roman" w:cs="Times New Roman"/>
          <w:sz w:val="24"/>
          <w:szCs w:val="24"/>
          <w:u w:val="single"/>
          <w:lang w:val="en-US"/>
        </w:rPr>
        <w:t>Algorithm development</w:t>
      </w:r>
    </w:p>
    <w:p w:rsidR="00CD23AA" w:rsidRPr="00F40DCC" w:rsidRDefault="00CD23AA" w:rsidP="007A2E63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Discriminating cut-offs and health staff employment that were associated to the 4 risk </w:t>
      </w:r>
      <w:proofErr w:type="gramStart"/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classes </w:t>
      </w:r>
      <w:r w:rsidRPr="00F40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62772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="00462772">
        <w:rPr>
          <w:rFonts w:ascii="Times New Roman" w:hAnsi="Times New Roman" w:cs="Times New Roman"/>
          <w:sz w:val="24"/>
          <w:szCs w:val="24"/>
          <w:lang w:val="en-US"/>
        </w:rPr>
        <w:t xml:space="preserve"> descripted below:</w:t>
      </w:r>
    </w:p>
    <w:p w:rsidR="00CD23AA" w:rsidRPr="00F40DCC" w:rsidRDefault="00CD23AA" w:rsidP="007A2E63">
      <w:pPr>
        <w:pStyle w:val="Paragrafoelenco"/>
        <w:numPr>
          <w:ilvl w:val="0"/>
          <w:numId w:val="25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F40DCC">
        <w:rPr>
          <w:rFonts w:ascii="Times New Roman" w:hAnsi="Times New Roman" w:cs="Times New Roman"/>
          <w:sz w:val="24"/>
          <w:szCs w:val="24"/>
          <w:lang w:val="en-US"/>
        </w:rPr>
        <w:t>RS 4 class – BWSTT with a dedicated PT (1:1 PT/patient ratio):  patients presenting FAC</w:t>
      </w:r>
      <w:r w:rsidR="005A2B5E">
        <w:rPr>
          <w:rFonts w:ascii="Times New Roman" w:hAnsi="Times New Roman" w:cs="Times New Roman"/>
          <w:sz w:val="24"/>
          <w:szCs w:val="24"/>
          <w:lang w:val="en-US"/>
        </w:rPr>
        <w:t>≤1</w:t>
      </w:r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 and patients with FAC</w:t>
      </w:r>
      <w:r w:rsidR="005A2B5E">
        <w:rPr>
          <w:rFonts w:ascii="Times New Roman" w:hAnsi="Times New Roman" w:cs="Times New Roman"/>
          <w:sz w:val="24"/>
          <w:szCs w:val="24"/>
          <w:lang w:val="en-US"/>
        </w:rPr>
        <w:t>&gt;1</w:t>
      </w:r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F40DCC">
        <w:rPr>
          <w:rFonts w:ascii="Times New Roman" w:hAnsi="Times New Roman" w:cs="Times New Roman"/>
          <w:sz w:val="24"/>
          <w:szCs w:val="24"/>
          <w:lang w:val="en-GB"/>
        </w:rPr>
        <w:t>Tinetti</w:t>
      </w:r>
      <w:proofErr w:type="spellEnd"/>
      <w:r w:rsidRPr="00F40DCC">
        <w:rPr>
          <w:rFonts w:ascii="Times New Roman" w:hAnsi="Times New Roman" w:cs="Times New Roman"/>
          <w:sz w:val="24"/>
          <w:szCs w:val="24"/>
          <w:lang w:val="en-GB"/>
        </w:rPr>
        <w:t xml:space="preserve"> ≤5;</w:t>
      </w:r>
    </w:p>
    <w:p w:rsidR="00CD23AA" w:rsidRPr="00F40DCC" w:rsidRDefault="00CD23AA" w:rsidP="007A2E63">
      <w:pPr>
        <w:pStyle w:val="Paragrafoelenco"/>
        <w:numPr>
          <w:ilvl w:val="0"/>
          <w:numId w:val="25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F40DCC">
        <w:rPr>
          <w:rFonts w:ascii="Times New Roman" w:hAnsi="Times New Roman" w:cs="Times New Roman"/>
          <w:sz w:val="24"/>
          <w:szCs w:val="24"/>
          <w:lang w:val="en-US"/>
        </w:rPr>
        <w:t>RS 3 class – BWSTT with PT supervision only (1:&gt;1 PT/patient ratio):  patients presenting FAC</w:t>
      </w:r>
      <w:r w:rsidR="005A2B5E">
        <w:rPr>
          <w:rFonts w:ascii="Times New Roman" w:hAnsi="Times New Roman" w:cs="Times New Roman"/>
          <w:sz w:val="24"/>
          <w:szCs w:val="24"/>
          <w:lang w:val="en-US"/>
        </w:rPr>
        <w:t>&gt;1</w:t>
      </w:r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F40DCC">
        <w:rPr>
          <w:rFonts w:ascii="Times New Roman" w:hAnsi="Times New Roman" w:cs="Times New Roman"/>
          <w:sz w:val="24"/>
          <w:szCs w:val="24"/>
          <w:lang w:val="en-US"/>
        </w:rPr>
        <w:t>Tinetti</w:t>
      </w:r>
      <w:proofErr w:type="spellEnd"/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="00BA547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 and 14 </w:t>
      </w:r>
      <w:r w:rsidR="00F40DCC" w:rsidRPr="00F40DCC">
        <w:rPr>
          <w:rFonts w:ascii="Times New Roman" w:hAnsi="Times New Roman" w:cs="Times New Roman"/>
          <w:sz w:val="24"/>
          <w:szCs w:val="24"/>
          <w:lang w:val="en-US"/>
        </w:rPr>
        <w:t>included</w:t>
      </w:r>
      <w:r w:rsidRPr="00F40DC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D23AA" w:rsidRPr="00F40DCC" w:rsidRDefault="00CD23AA" w:rsidP="007A2E63">
      <w:pPr>
        <w:pStyle w:val="Paragrafoelenco"/>
        <w:numPr>
          <w:ilvl w:val="0"/>
          <w:numId w:val="25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RS 2 class – </w:t>
      </w:r>
      <w:proofErr w:type="spellStart"/>
      <w:r w:rsidRPr="00F40DCC">
        <w:rPr>
          <w:rFonts w:ascii="Times New Roman" w:hAnsi="Times New Roman" w:cs="Times New Roman"/>
          <w:sz w:val="24"/>
          <w:szCs w:val="24"/>
          <w:lang w:val="en-US"/>
        </w:rPr>
        <w:t>FreeTT</w:t>
      </w:r>
      <w:proofErr w:type="spellEnd"/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 with aid of bars and PT supervision (1:&gt;1 PT/patient ratio):  patients presenting FAC</w:t>
      </w:r>
      <w:r w:rsidR="005A2B5E">
        <w:rPr>
          <w:rFonts w:ascii="Times New Roman" w:hAnsi="Times New Roman" w:cs="Times New Roman"/>
          <w:sz w:val="24"/>
          <w:szCs w:val="24"/>
          <w:lang w:val="en-US"/>
        </w:rPr>
        <w:t>&gt;1</w:t>
      </w:r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F40DCC">
        <w:rPr>
          <w:rFonts w:ascii="Times New Roman" w:hAnsi="Times New Roman" w:cs="Times New Roman"/>
          <w:sz w:val="24"/>
          <w:szCs w:val="24"/>
          <w:lang w:val="en-US"/>
        </w:rPr>
        <w:t>Tinetti</w:t>
      </w:r>
      <w:proofErr w:type="spellEnd"/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="00201298" w:rsidRPr="00F40DC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A547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 and 22 included; </w:t>
      </w:r>
    </w:p>
    <w:p w:rsidR="00EC6B1E" w:rsidRPr="00F40DCC" w:rsidRDefault="00CD23AA" w:rsidP="00EC6B1E">
      <w:pPr>
        <w:pStyle w:val="Paragrafoelenco"/>
        <w:numPr>
          <w:ilvl w:val="0"/>
          <w:numId w:val="25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RS 1 class – </w:t>
      </w:r>
      <w:proofErr w:type="spellStart"/>
      <w:r w:rsidRPr="00F40DCC">
        <w:rPr>
          <w:rFonts w:ascii="Times New Roman" w:hAnsi="Times New Roman" w:cs="Times New Roman"/>
          <w:sz w:val="24"/>
          <w:szCs w:val="24"/>
          <w:lang w:val="en-US"/>
        </w:rPr>
        <w:t>FreeTT</w:t>
      </w:r>
      <w:proofErr w:type="spellEnd"/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 without aid of bars but only PT supervision (1:&gt;1 PT/patient): patients presenting FAC</w:t>
      </w:r>
      <w:r w:rsidR="005A2B5E">
        <w:rPr>
          <w:rFonts w:ascii="Times New Roman" w:hAnsi="Times New Roman" w:cs="Times New Roman"/>
          <w:sz w:val="24"/>
          <w:szCs w:val="24"/>
          <w:lang w:val="en-US"/>
        </w:rPr>
        <w:t>&gt;1</w:t>
      </w:r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F40DCC">
        <w:rPr>
          <w:rFonts w:ascii="Times New Roman" w:hAnsi="Times New Roman" w:cs="Times New Roman"/>
          <w:sz w:val="24"/>
          <w:szCs w:val="24"/>
          <w:lang w:val="en-US"/>
        </w:rPr>
        <w:t>Tinetti</w:t>
      </w:r>
      <w:proofErr w:type="spellEnd"/>
      <w:r w:rsidRPr="00F4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1298" w:rsidRPr="00F40DCC">
        <w:rPr>
          <w:rFonts w:ascii="Times New Roman" w:hAnsi="Times New Roman" w:cs="Times New Roman"/>
          <w:sz w:val="24"/>
          <w:szCs w:val="24"/>
          <w:lang w:val="en-US"/>
        </w:rPr>
        <w:t>≥23</w:t>
      </w:r>
    </w:p>
    <w:p w:rsidR="00CD23AA" w:rsidRPr="00BA5479" w:rsidRDefault="00CD23AA" w:rsidP="007A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  <w:lang w:val="en-GB"/>
        </w:rPr>
      </w:pPr>
    </w:p>
    <w:p w:rsidR="00CD23AA" w:rsidRDefault="00CD23AA" w:rsidP="007A2E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01D7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dverse events/annotations</w:t>
      </w:r>
    </w:p>
    <w:p w:rsidR="00CD23AA" w:rsidRPr="00061336" w:rsidRDefault="00CD23AA" w:rsidP="007A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1336">
        <w:rPr>
          <w:rFonts w:ascii="Times New Roman" w:hAnsi="Times New Roman" w:cs="Times New Roman"/>
          <w:sz w:val="24"/>
          <w:szCs w:val="24"/>
          <w:lang w:val="en-US"/>
        </w:rPr>
        <w:t>The following annotations/adverse events were recorded:</w:t>
      </w:r>
    </w:p>
    <w:p w:rsidR="00CD23AA" w:rsidRPr="00061336" w:rsidRDefault="00CD23AA" w:rsidP="007A2E63">
      <w:pPr>
        <w:pStyle w:val="Paragrafoelenco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1336">
        <w:rPr>
          <w:rFonts w:ascii="Times New Roman" w:hAnsi="Times New Roman" w:cs="Times New Roman"/>
          <w:sz w:val="24"/>
          <w:szCs w:val="24"/>
          <w:lang w:val="en-US"/>
        </w:rPr>
        <w:t>One patient had an angina episode;</w:t>
      </w:r>
    </w:p>
    <w:p w:rsidR="00CD23AA" w:rsidRPr="00061336" w:rsidRDefault="00CD23AA" w:rsidP="007A2E63">
      <w:pPr>
        <w:pStyle w:val="Paragrafoelenco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>ne patient f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>ll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 treadmill due to a partial release of the BWS harness (incorrect coupling);</w:t>
      </w:r>
    </w:p>
    <w:p w:rsidR="00CD23AA" w:rsidRPr="00061336" w:rsidRDefault="00CD23AA" w:rsidP="007A2E63">
      <w:pPr>
        <w:pStyle w:val="Paragrafoelenco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Two patients 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061336">
        <w:rPr>
          <w:rFonts w:ascii="Times New Roman" w:hAnsi="Times New Roman" w:cs="Times New Roman"/>
          <w:sz w:val="24"/>
          <w:szCs w:val="24"/>
          <w:lang w:val="en-US"/>
        </w:rPr>
        <w:t>FreeTT</w:t>
      </w:r>
      <w:proofErr w:type="spellEnd"/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 group </w:t>
      </w:r>
      <w:r>
        <w:rPr>
          <w:rFonts w:ascii="Times New Roman" w:hAnsi="Times New Roman" w:cs="Times New Roman"/>
          <w:sz w:val="24"/>
          <w:szCs w:val="24"/>
          <w:lang w:val="en-US"/>
        </w:rPr>
        <w:t>were switch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ed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>BWSTT group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.119 was “a simulator patient", so not safe to perform </w:t>
      </w:r>
      <w:proofErr w:type="spellStart"/>
      <w:r w:rsidRPr="00061336">
        <w:rPr>
          <w:rFonts w:ascii="Times New Roman" w:hAnsi="Times New Roman" w:cs="Times New Roman"/>
          <w:sz w:val="24"/>
          <w:szCs w:val="24"/>
          <w:lang w:val="en-US"/>
        </w:rPr>
        <w:t>FreeTT</w:t>
      </w:r>
      <w:proofErr w:type="spellEnd"/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in n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.134 a balance deficit was discovered and </w:t>
      </w:r>
      <w:r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 attention and support was needed). These two patients </w:t>
      </w:r>
      <w:r>
        <w:rPr>
          <w:rFonts w:ascii="Times New Roman" w:hAnsi="Times New Roman" w:cs="Times New Roman"/>
          <w:sz w:val="24"/>
          <w:szCs w:val="24"/>
          <w:lang w:val="en-US"/>
        </w:rPr>
        <w:t>were, in fact, both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 assigned by </w:t>
      </w:r>
      <w:r>
        <w:rPr>
          <w:rFonts w:ascii="Times New Roman" w:hAnsi="Times New Roman" w:cs="Times New Roman"/>
          <w:sz w:val="24"/>
          <w:szCs w:val="24"/>
          <w:lang w:val="en-US"/>
        </w:rPr>
        <w:t>the d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>ecision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making algorithm to RS3 class, </w:t>
      </w:r>
      <w:r>
        <w:rPr>
          <w:rFonts w:ascii="Times New Roman" w:hAnsi="Times New Roman" w:cs="Times New Roman"/>
          <w:sz w:val="24"/>
          <w:szCs w:val="24"/>
          <w:lang w:val="en-US"/>
        </w:rPr>
        <w:t>hence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 with BWS. </w:t>
      </w:r>
    </w:p>
    <w:p w:rsidR="00CD23AA" w:rsidRPr="006E762B" w:rsidRDefault="00CD23AA" w:rsidP="007A2E63">
      <w:pPr>
        <w:pStyle w:val="Paragrafoelenco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1336">
        <w:rPr>
          <w:rFonts w:ascii="Times New Roman" w:hAnsi="Times New Roman" w:cs="Times New Roman"/>
          <w:sz w:val="24"/>
          <w:szCs w:val="24"/>
          <w:lang w:val="en-US"/>
        </w:rPr>
        <w:t>Two patients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.148 and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.153) who initially had been allowed to walk freely on TT revealed fatigue or weakness that required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 switch to the use of supporting bars. Both patients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were, in fact, 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assigned by </w:t>
      </w:r>
      <w:r>
        <w:rPr>
          <w:rFonts w:ascii="Times New Roman" w:hAnsi="Times New Roman" w:cs="Times New Roman"/>
          <w:sz w:val="24"/>
          <w:szCs w:val="24"/>
          <w:lang w:val="en-US"/>
        </w:rPr>
        <w:t>the d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>ecision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making algorithm to RS2 class, </w:t>
      </w:r>
      <w:r>
        <w:rPr>
          <w:rFonts w:ascii="Times New Roman" w:hAnsi="Times New Roman" w:cs="Times New Roman"/>
          <w:sz w:val="24"/>
          <w:szCs w:val="24"/>
          <w:lang w:val="en-US"/>
        </w:rPr>
        <w:t>hence to</w:t>
      </w:r>
      <w:r w:rsidRPr="00061336">
        <w:rPr>
          <w:rFonts w:ascii="Times New Roman" w:hAnsi="Times New Roman" w:cs="Times New Roman"/>
          <w:sz w:val="24"/>
          <w:szCs w:val="24"/>
          <w:lang w:val="en-US"/>
        </w:rPr>
        <w:t xml:space="preserve"> TT </w:t>
      </w:r>
      <w:r w:rsidRPr="00E3509D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3509D">
        <w:rPr>
          <w:rFonts w:ascii="Times New Roman" w:hAnsi="Times New Roman" w:cs="Times New Roman"/>
          <w:sz w:val="24"/>
          <w:szCs w:val="24"/>
          <w:lang w:val="en-US"/>
        </w:rPr>
        <w:t xml:space="preserve"> support of </w:t>
      </w:r>
      <w:r w:rsidRPr="006E762B">
        <w:rPr>
          <w:rFonts w:ascii="Times New Roman" w:hAnsi="Times New Roman" w:cs="Times New Roman"/>
          <w:sz w:val="24"/>
          <w:szCs w:val="24"/>
          <w:lang w:val="en-US"/>
        </w:rPr>
        <w:t>bars.</w:t>
      </w:r>
    </w:p>
    <w:p w:rsidR="00CD23AA" w:rsidRDefault="00CD23AA" w:rsidP="002265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23AA" w:rsidRPr="00927381" w:rsidRDefault="00CD23A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1E2E5"/>
          <w:lang w:val="en-US" w:eastAsia="it-IT"/>
        </w:rPr>
      </w:pPr>
    </w:p>
    <w:p w:rsidR="00CD23AA" w:rsidRPr="007A2E63" w:rsidRDefault="00CD23A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1E2E5"/>
          <w:lang w:val="en-GB" w:eastAsia="it-IT"/>
        </w:rPr>
      </w:pPr>
      <w:r w:rsidRPr="007A2E63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REFERENCES</w:t>
      </w:r>
    </w:p>
    <w:p w:rsidR="00CD23AA" w:rsidRPr="00E9624B" w:rsidRDefault="00CD23AA" w:rsidP="00E9624B">
      <w:pPr>
        <w:pStyle w:val="Paragrafoelenco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:rsidR="00CD23AA" w:rsidRPr="00E9624B" w:rsidRDefault="00CD23AA" w:rsidP="00E9624B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624B">
        <w:rPr>
          <w:rFonts w:ascii="Times New Roman" w:hAnsi="Times New Roman" w:cs="Times New Roman"/>
          <w:sz w:val="24"/>
          <w:szCs w:val="24"/>
        </w:rPr>
        <w:t>1.</w:t>
      </w:r>
      <w:r w:rsidRPr="00E9624B">
        <w:rPr>
          <w:rFonts w:ascii="Times New Roman" w:hAnsi="Times New Roman" w:cs="Times New Roman"/>
          <w:sz w:val="24"/>
          <w:szCs w:val="24"/>
        </w:rPr>
        <w:tab/>
        <w:t xml:space="preserve">Parmelee PA, Thuras PD, Katz IR, Lawton MP. Validation of the Cumulative Illness Rating Scale in a geriatric residential population. </w:t>
      </w:r>
      <w:r w:rsidRPr="00E9624B">
        <w:rPr>
          <w:rFonts w:ascii="Times New Roman" w:hAnsi="Times New Roman" w:cs="Times New Roman"/>
          <w:i/>
          <w:sz w:val="24"/>
          <w:szCs w:val="24"/>
        </w:rPr>
        <w:t xml:space="preserve">J Am Geriatr Soc. </w:t>
      </w:r>
      <w:r w:rsidRPr="00E9624B">
        <w:rPr>
          <w:rFonts w:ascii="Times New Roman" w:hAnsi="Times New Roman" w:cs="Times New Roman"/>
          <w:sz w:val="24"/>
          <w:szCs w:val="24"/>
        </w:rPr>
        <w:t>1995;43(2):130-137.</w:t>
      </w:r>
    </w:p>
    <w:p w:rsidR="00CD23AA" w:rsidRPr="00E9624B" w:rsidRDefault="00CD23AA" w:rsidP="00E9624B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624B">
        <w:rPr>
          <w:rFonts w:ascii="Times New Roman" w:hAnsi="Times New Roman" w:cs="Times New Roman"/>
          <w:sz w:val="24"/>
          <w:szCs w:val="24"/>
        </w:rPr>
        <w:t>2.</w:t>
      </w:r>
      <w:r w:rsidRPr="00E9624B">
        <w:rPr>
          <w:rFonts w:ascii="Times New Roman" w:hAnsi="Times New Roman" w:cs="Times New Roman"/>
          <w:sz w:val="24"/>
          <w:szCs w:val="24"/>
        </w:rPr>
        <w:tab/>
        <w:t xml:space="preserve">Holden MK, Gill KM, Magliozzi MR. Gait assessment for neurologically impaired patients. Standards for outcome assessment. </w:t>
      </w:r>
      <w:r w:rsidRPr="00E9624B">
        <w:rPr>
          <w:rFonts w:ascii="Times New Roman" w:hAnsi="Times New Roman" w:cs="Times New Roman"/>
          <w:i/>
          <w:sz w:val="24"/>
          <w:szCs w:val="24"/>
        </w:rPr>
        <w:t xml:space="preserve">Phys Ther. </w:t>
      </w:r>
      <w:r w:rsidRPr="00E9624B">
        <w:rPr>
          <w:rFonts w:ascii="Times New Roman" w:hAnsi="Times New Roman" w:cs="Times New Roman"/>
          <w:sz w:val="24"/>
          <w:szCs w:val="24"/>
        </w:rPr>
        <w:t>1986;66(10):1530-1539.</w:t>
      </w:r>
    </w:p>
    <w:p w:rsidR="00CD23AA" w:rsidRPr="00E9624B" w:rsidRDefault="00CD23AA" w:rsidP="00E9624B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624B">
        <w:rPr>
          <w:rFonts w:ascii="Times New Roman" w:hAnsi="Times New Roman" w:cs="Times New Roman"/>
          <w:sz w:val="24"/>
          <w:szCs w:val="24"/>
        </w:rPr>
        <w:t>3.</w:t>
      </w:r>
      <w:r w:rsidRPr="00E9624B">
        <w:rPr>
          <w:rFonts w:ascii="Times New Roman" w:hAnsi="Times New Roman" w:cs="Times New Roman"/>
          <w:sz w:val="24"/>
          <w:szCs w:val="24"/>
        </w:rPr>
        <w:tab/>
        <w:t xml:space="preserve">Granger CV, Cotter AC, Hamilton BB, Fiedler RC. Functional assessment scales: a study of persons after stroke. </w:t>
      </w:r>
      <w:r w:rsidRPr="00E9624B">
        <w:rPr>
          <w:rFonts w:ascii="Times New Roman" w:hAnsi="Times New Roman" w:cs="Times New Roman"/>
          <w:i/>
          <w:sz w:val="24"/>
          <w:szCs w:val="24"/>
        </w:rPr>
        <w:t xml:space="preserve">Arch Phys Med Rehabil. </w:t>
      </w:r>
      <w:r w:rsidRPr="00E9624B">
        <w:rPr>
          <w:rFonts w:ascii="Times New Roman" w:hAnsi="Times New Roman" w:cs="Times New Roman"/>
          <w:sz w:val="24"/>
          <w:szCs w:val="24"/>
        </w:rPr>
        <w:t>1993;74(2):133-138.</w:t>
      </w:r>
    </w:p>
    <w:p w:rsidR="00CD23AA" w:rsidRPr="00E9624B" w:rsidRDefault="00CD23AA" w:rsidP="00E9624B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624B">
        <w:rPr>
          <w:rFonts w:ascii="Times New Roman" w:hAnsi="Times New Roman" w:cs="Times New Roman"/>
          <w:sz w:val="24"/>
          <w:szCs w:val="24"/>
        </w:rPr>
        <w:t>4.</w:t>
      </w:r>
      <w:r w:rsidRPr="00E9624B">
        <w:rPr>
          <w:rFonts w:ascii="Times New Roman" w:hAnsi="Times New Roman" w:cs="Times New Roman"/>
          <w:sz w:val="24"/>
          <w:szCs w:val="24"/>
        </w:rPr>
        <w:tab/>
        <w:t xml:space="preserve">Tinetti ME. Performance-oriented assessment of mobility problems in elderly patients. </w:t>
      </w:r>
      <w:r w:rsidRPr="00E9624B">
        <w:rPr>
          <w:rFonts w:ascii="Times New Roman" w:hAnsi="Times New Roman" w:cs="Times New Roman"/>
          <w:i/>
          <w:sz w:val="24"/>
          <w:szCs w:val="24"/>
        </w:rPr>
        <w:t xml:space="preserve">J Am Geriatr Soc. </w:t>
      </w:r>
      <w:r w:rsidRPr="00E9624B">
        <w:rPr>
          <w:rFonts w:ascii="Times New Roman" w:hAnsi="Times New Roman" w:cs="Times New Roman"/>
          <w:sz w:val="24"/>
          <w:szCs w:val="24"/>
        </w:rPr>
        <w:t>1986;34(2):119-126.</w:t>
      </w:r>
    </w:p>
    <w:p w:rsidR="00CD23AA" w:rsidRPr="00E9624B" w:rsidRDefault="00CD23AA" w:rsidP="00E9624B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624B">
        <w:rPr>
          <w:rFonts w:ascii="Times New Roman" w:hAnsi="Times New Roman" w:cs="Times New Roman"/>
          <w:sz w:val="24"/>
          <w:szCs w:val="24"/>
        </w:rPr>
        <w:t>5.</w:t>
      </w:r>
      <w:r w:rsidRPr="00E9624B">
        <w:rPr>
          <w:rFonts w:ascii="Times New Roman" w:hAnsi="Times New Roman" w:cs="Times New Roman"/>
          <w:sz w:val="24"/>
          <w:szCs w:val="24"/>
        </w:rPr>
        <w:tab/>
        <w:t xml:space="preserve">Morse JM, Morse RM, Tylko SJ. Development of a Scale to Identify the Fall-Prone Patient. </w:t>
      </w:r>
      <w:r w:rsidRPr="00E9624B">
        <w:rPr>
          <w:rFonts w:ascii="Times New Roman" w:hAnsi="Times New Roman" w:cs="Times New Roman"/>
          <w:i/>
          <w:sz w:val="24"/>
          <w:szCs w:val="24"/>
        </w:rPr>
        <w:t xml:space="preserve">Canadian Journal on Aging / La Revue canadienne du vieillissement. </w:t>
      </w:r>
      <w:r w:rsidRPr="00E9624B">
        <w:rPr>
          <w:rFonts w:ascii="Times New Roman" w:hAnsi="Times New Roman" w:cs="Times New Roman"/>
          <w:sz w:val="24"/>
          <w:szCs w:val="24"/>
        </w:rPr>
        <w:t>1989;8(4):366-377.</w:t>
      </w:r>
    </w:p>
    <w:p w:rsidR="00CD23AA" w:rsidRPr="00E9624B" w:rsidRDefault="00CD23AA" w:rsidP="00E9624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624B">
        <w:rPr>
          <w:rFonts w:ascii="Times New Roman" w:hAnsi="Times New Roman" w:cs="Times New Roman"/>
          <w:sz w:val="24"/>
          <w:szCs w:val="24"/>
        </w:rPr>
        <w:t>6.</w:t>
      </w:r>
      <w:r w:rsidRPr="00E9624B">
        <w:rPr>
          <w:rFonts w:ascii="Times New Roman" w:hAnsi="Times New Roman" w:cs="Times New Roman"/>
          <w:sz w:val="24"/>
          <w:szCs w:val="24"/>
        </w:rPr>
        <w:tab/>
        <w:t xml:space="preserve">Oliver D, Britton M, Seed P, Martin FC, Hopper AH. Development and evaluation of evidence based risk assessment tool (STRATIFY) to predict which elderly inpatients will fall: case-control and cohort studies. </w:t>
      </w:r>
      <w:r w:rsidRPr="00E9624B">
        <w:rPr>
          <w:rFonts w:ascii="Times New Roman" w:hAnsi="Times New Roman" w:cs="Times New Roman"/>
          <w:i/>
          <w:sz w:val="24"/>
          <w:szCs w:val="24"/>
        </w:rPr>
        <w:t xml:space="preserve">Bmj. </w:t>
      </w:r>
      <w:r w:rsidRPr="00E9624B">
        <w:rPr>
          <w:rFonts w:ascii="Times New Roman" w:hAnsi="Times New Roman" w:cs="Times New Roman"/>
          <w:sz w:val="24"/>
          <w:szCs w:val="24"/>
        </w:rPr>
        <w:t>1997;315(7115):1049-1053.</w:t>
      </w:r>
    </w:p>
    <w:p w:rsidR="00CD23AA" w:rsidRPr="00E9624B" w:rsidRDefault="00CD23AA" w:rsidP="00E9624B">
      <w:pPr>
        <w:pStyle w:val="Paragrafoelenco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:rsidR="00E45644" w:rsidRPr="00E9624B" w:rsidRDefault="00E45644" w:rsidP="00E962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45644" w:rsidRPr="00E9624B" w:rsidSect="00C453E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71" w:rsidRDefault="00A40027">
      <w:pPr>
        <w:spacing w:after="0" w:line="240" w:lineRule="auto"/>
      </w:pPr>
      <w:r>
        <w:separator/>
      </w:r>
    </w:p>
  </w:endnote>
  <w:endnote w:type="continuationSeparator" w:id="0">
    <w:p w:rsidR="003D2B71" w:rsidRDefault="00A4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630742"/>
      <w:docPartObj>
        <w:docPartGallery w:val="Page Numbers (Bottom of Page)"/>
        <w:docPartUnique/>
      </w:docPartObj>
    </w:sdtPr>
    <w:sdtEndPr/>
    <w:sdtContent>
      <w:p w:rsidR="00A703E0" w:rsidRDefault="001A1F7A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255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03E0" w:rsidRDefault="004255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71" w:rsidRDefault="00A40027">
      <w:pPr>
        <w:spacing w:after="0" w:line="240" w:lineRule="auto"/>
      </w:pPr>
      <w:r>
        <w:separator/>
      </w:r>
    </w:p>
  </w:footnote>
  <w:footnote w:type="continuationSeparator" w:id="0">
    <w:p w:rsidR="003D2B71" w:rsidRDefault="00A40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59C"/>
    <w:multiLevelType w:val="hybridMultilevel"/>
    <w:tmpl w:val="C150BB9C"/>
    <w:lvl w:ilvl="0" w:tplc="0410000D">
      <w:start w:val="1"/>
      <w:numFmt w:val="bullet"/>
      <w:lvlText w:val=""/>
      <w:lvlJc w:val="left"/>
      <w:pPr>
        <w:ind w:left="104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0A1A2685"/>
    <w:multiLevelType w:val="hybridMultilevel"/>
    <w:tmpl w:val="E62A5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5624032">
      <w:numFmt w:val="bullet"/>
      <w:lvlText w:val="-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67BB"/>
    <w:multiLevelType w:val="hybridMultilevel"/>
    <w:tmpl w:val="B4E8D27E"/>
    <w:lvl w:ilvl="0" w:tplc="2786BF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05A6A"/>
    <w:multiLevelType w:val="hybridMultilevel"/>
    <w:tmpl w:val="96548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035E3"/>
    <w:multiLevelType w:val="hybridMultilevel"/>
    <w:tmpl w:val="F6FCAB82"/>
    <w:lvl w:ilvl="0" w:tplc="041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 w15:restartNumberingAfterBreak="0">
    <w:nsid w:val="1D3B253D"/>
    <w:multiLevelType w:val="hybridMultilevel"/>
    <w:tmpl w:val="5CDA92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B38F5"/>
    <w:multiLevelType w:val="hybridMultilevel"/>
    <w:tmpl w:val="CF569C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750E4"/>
    <w:multiLevelType w:val="hybridMultilevel"/>
    <w:tmpl w:val="239210DE"/>
    <w:lvl w:ilvl="0" w:tplc="E6F6E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86"/>
    <w:multiLevelType w:val="hybridMultilevel"/>
    <w:tmpl w:val="9D3233A2"/>
    <w:lvl w:ilvl="0" w:tplc="6B5285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68F3C1C"/>
    <w:multiLevelType w:val="hybridMultilevel"/>
    <w:tmpl w:val="7EC840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508491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F0E35"/>
    <w:multiLevelType w:val="hybridMultilevel"/>
    <w:tmpl w:val="4836943A"/>
    <w:lvl w:ilvl="0" w:tplc="00262F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77999"/>
    <w:multiLevelType w:val="hybridMultilevel"/>
    <w:tmpl w:val="5C84A7AE"/>
    <w:lvl w:ilvl="0" w:tplc="E6F6E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003D2"/>
    <w:multiLevelType w:val="hybridMultilevel"/>
    <w:tmpl w:val="766A5D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659D7"/>
    <w:multiLevelType w:val="hybridMultilevel"/>
    <w:tmpl w:val="884665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1584F"/>
    <w:multiLevelType w:val="hybridMultilevel"/>
    <w:tmpl w:val="C5E683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BC4D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F53C996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B594C"/>
    <w:multiLevelType w:val="hybridMultilevel"/>
    <w:tmpl w:val="366E6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67963"/>
    <w:multiLevelType w:val="hybridMultilevel"/>
    <w:tmpl w:val="85C6A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3138D"/>
    <w:multiLevelType w:val="hybridMultilevel"/>
    <w:tmpl w:val="7C902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A40B8"/>
    <w:multiLevelType w:val="hybridMultilevel"/>
    <w:tmpl w:val="133A0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624032">
      <w:numFmt w:val="bullet"/>
      <w:lvlText w:val="-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747E6"/>
    <w:multiLevelType w:val="hybridMultilevel"/>
    <w:tmpl w:val="11146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8F21CF"/>
    <w:multiLevelType w:val="hybridMultilevel"/>
    <w:tmpl w:val="5088FE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04A3A"/>
    <w:multiLevelType w:val="hybridMultilevel"/>
    <w:tmpl w:val="84F0839E"/>
    <w:lvl w:ilvl="0" w:tplc="B2E0A86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7A557199"/>
    <w:multiLevelType w:val="hybridMultilevel"/>
    <w:tmpl w:val="87843EE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F56E12"/>
    <w:multiLevelType w:val="hybridMultilevel"/>
    <w:tmpl w:val="F95E1B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624032">
      <w:numFmt w:val="bullet"/>
      <w:lvlText w:val="-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2040E"/>
    <w:multiLevelType w:val="hybridMultilevel"/>
    <w:tmpl w:val="A7CA5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14248"/>
    <w:multiLevelType w:val="hybridMultilevel"/>
    <w:tmpl w:val="181E9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5"/>
  </w:num>
  <w:num w:numId="4">
    <w:abstractNumId w:val="17"/>
  </w:num>
  <w:num w:numId="5">
    <w:abstractNumId w:val="10"/>
  </w:num>
  <w:num w:numId="6">
    <w:abstractNumId w:val="9"/>
  </w:num>
  <w:num w:numId="7">
    <w:abstractNumId w:val="14"/>
  </w:num>
  <w:num w:numId="8">
    <w:abstractNumId w:val="3"/>
  </w:num>
  <w:num w:numId="9">
    <w:abstractNumId w:val="21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  <w:num w:numId="14">
    <w:abstractNumId w:val="5"/>
  </w:num>
  <w:num w:numId="15">
    <w:abstractNumId w:val="16"/>
  </w:num>
  <w:num w:numId="16">
    <w:abstractNumId w:val="22"/>
  </w:num>
  <w:num w:numId="17">
    <w:abstractNumId w:val="2"/>
  </w:num>
  <w:num w:numId="18">
    <w:abstractNumId w:val="8"/>
  </w:num>
  <w:num w:numId="19">
    <w:abstractNumId w:val="12"/>
  </w:num>
  <w:num w:numId="20">
    <w:abstractNumId w:val="20"/>
  </w:num>
  <w:num w:numId="21">
    <w:abstractNumId w:val="6"/>
  </w:num>
  <w:num w:numId="22">
    <w:abstractNumId w:val="1"/>
  </w:num>
  <w:num w:numId="23">
    <w:abstractNumId w:val="13"/>
  </w:num>
  <w:num w:numId="24">
    <w:abstractNumId w:val="23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D23AA"/>
    <w:rsid w:val="00094918"/>
    <w:rsid w:val="001A1F7A"/>
    <w:rsid w:val="00201298"/>
    <w:rsid w:val="003D2B71"/>
    <w:rsid w:val="00425515"/>
    <w:rsid w:val="00462772"/>
    <w:rsid w:val="005A2B5E"/>
    <w:rsid w:val="0060765A"/>
    <w:rsid w:val="007913D0"/>
    <w:rsid w:val="00A40027"/>
    <w:rsid w:val="00BA5479"/>
    <w:rsid w:val="00CD23AA"/>
    <w:rsid w:val="00E45644"/>
    <w:rsid w:val="00E9624B"/>
    <w:rsid w:val="00EC6B1E"/>
    <w:rsid w:val="00F40DCC"/>
    <w:rsid w:val="00F84882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30BB8F-F98E-4A96-BA5C-9625C9E7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23A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D2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D23A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gewyw5ybjeb">
    <w:name w:val="gewyw5ybjeb"/>
    <w:basedOn w:val="Carpredefinitoparagrafo"/>
    <w:rsid w:val="00CD23AA"/>
  </w:style>
  <w:style w:type="character" w:customStyle="1" w:styleId="gewyw5ybmdb">
    <w:name w:val="gewyw5ybmdb"/>
    <w:basedOn w:val="Carpredefinitoparagrafo"/>
    <w:rsid w:val="00CD23AA"/>
  </w:style>
  <w:style w:type="character" w:customStyle="1" w:styleId="gewyw5ybaeb">
    <w:name w:val="gewyw5ybaeb"/>
    <w:basedOn w:val="Carpredefinitoparagrafo"/>
    <w:rsid w:val="00CD23AA"/>
  </w:style>
  <w:style w:type="paragraph" w:styleId="Paragrafoelenco">
    <w:name w:val="List Paragraph"/>
    <w:basedOn w:val="Normale"/>
    <w:uiPriority w:val="34"/>
    <w:qFormat/>
    <w:rsid w:val="00CD23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D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ghfmyibcpb">
    <w:name w:val="gghfmyibcpb"/>
    <w:basedOn w:val="Carpredefinitoparagrafo"/>
    <w:rsid w:val="00CD23AA"/>
  </w:style>
  <w:style w:type="character" w:customStyle="1" w:styleId="gghfmyibcob">
    <w:name w:val="gghfmyibcob"/>
    <w:basedOn w:val="Carpredefinitoparagrafo"/>
    <w:rsid w:val="00CD23AA"/>
  </w:style>
  <w:style w:type="character" w:customStyle="1" w:styleId="gghfmyibgob">
    <w:name w:val="gghfmyibgob"/>
    <w:basedOn w:val="Carpredefinitoparagrafo"/>
    <w:rsid w:val="00CD23AA"/>
  </w:style>
  <w:style w:type="paragraph" w:styleId="Intestazione">
    <w:name w:val="header"/>
    <w:basedOn w:val="Normale"/>
    <w:link w:val="IntestazioneCarattere"/>
    <w:uiPriority w:val="99"/>
    <w:unhideWhenUsed/>
    <w:rsid w:val="00CD23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AA"/>
  </w:style>
  <w:style w:type="paragraph" w:styleId="Pidipagina">
    <w:name w:val="footer"/>
    <w:basedOn w:val="Normale"/>
    <w:link w:val="PidipaginaCarattere"/>
    <w:uiPriority w:val="99"/>
    <w:unhideWhenUsed/>
    <w:rsid w:val="00CD23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AA"/>
  </w:style>
  <w:style w:type="character" w:styleId="Rimandocommento">
    <w:name w:val="annotation reference"/>
    <w:basedOn w:val="Carpredefinitoparagrafo"/>
    <w:uiPriority w:val="99"/>
    <w:semiHidden/>
    <w:unhideWhenUsed/>
    <w:rsid w:val="00CD23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D23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3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3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3AA"/>
    <w:rPr>
      <w:b/>
      <w:bCs/>
      <w:sz w:val="20"/>
      <w:szCs w:val="20"/>
    </w:rPr>
  </w:style>
  <w:style w:type="paragraph" w:customStyle="1" w:styleId="xmsonormal">
    <w:name w:val="x_msonormal"/>
    <w:basedOn w:val="Normale"/>
    <w:rsid w:val="00CD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A">
    <w:name w:val="Body A"/>
    <w:rsid w:val="00CD23AA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val="en-US" w:eastAsia="hi-IN" w:bidi="hi-IN"/>
    </w:rPr>
  </w:style>
  <w:style w:type="character" w:customStyle="1" w:styleId="NessunoB">
    <w:name w:val="Nessuno B"/>
    <w:rsid w:val="00CD23AA"/>
  </w:style>
  <w:style w:type="paragraph" w:styleId="Revisione">
    <w:name w:val="Revision"/>
    <w:hidden/>
    <w:uiPriority w:val="99"/>
    <w:semiHidden/>
    <w:rsid w:val="00CD23AA"/>
    <w:pPr>
      <w:spacing w:after="0" w:line="240" w:lineRule="auto"/>
    </w:pPr>
  </w:style>
  <w:style w:type="paragraph" w:customStyle="1" w:styleId="Standard">
    <w:name w:val="Standard"/>
    <w:rsid w:val="00CD23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cit-pub-date">
    <w:name w:val="cit-pub-date"/>
    <w:rsid w:val="00CD23AA"/>
  </w:style>
  <w:style w:type="paragraph" w:styleId="NormaleWeb">
    <w:name w:val="Normal (Web)"/>
    <w:basedOn w:val="Normale"/>
    <w:uiPriority w:val="99"/>
    <w:semiHidden/>
    <w:unhideWhenUsed/>
    <w:rsid w:val="00CD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CD23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D23AA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EndNoteBibliographyTitle">
    <w:name w:val="EndNote Bibliography Title"/>
    <w:basedOn w:val="Normale"/>
    <w:link w:val="EndNoteBibliographyTitleCarattere"/>
    <w:rsid w:val="00CD23A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CD23A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CD23A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CD23AA"/>
    <w:rPr>
      <w:rFonts w:ascii="Calibri" w:hAnsi="Calibri" w:cs="Calibri"/>
      <w:noProof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D23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23AA"/>
    <w:rPr>
      <w:color w:val="605E5C"/>
      <w:shd w:val="clear" w:color="auto" w:fill="E1DFDD"/>
    </w:rPr>
  </w:style>
  <w:style w:type="paragraph" w:customStyle="1" w:styleId="desc">
    <w:name w:val="desc"/>
    <w:basedOn w:val="Normale"/>
    <w:rsid w:val="00CD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tails">
    <w:name w:val="details"/>
    <w:basedOn w:val="Normale"/>
    <w:rsid w:val="00CD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rnl">
    <w:name w:val="jrnl"/>
    <w:basedOn w:val="Carpredefinitoparagrafo"/>
    <w:rsid w:val="00CD23AA"/>
  </w:style>
  <w:style w:type="character" w:customStyle="1" w:styleId="highlight">
    <w:name w:val="highlight"/>
    <w:basedOn w:val="Carpredefinitoparagrafo"/>
    <w:rsid w:val="00CD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Olivares Adriana</dc:creator>
  <cp:keywords/>
  <dc:description/>
  <cp:lastModifiedBy>Olivares Adriana</cp:lastModifiedBy>
  <cp:revision>13</cp:revision>
  <dcterms:created xsi:type="dcterms:W3CDTF">2020-12-02T08:45:00Z</dcterms:created>
  <dcterms:modified xsi:type="dcterms:W3CDTF">2021-04-12T10:04:00Z</dcterms:modified>
</cp:coreProperties>
</file>