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47" w:rsidRPr="009C7DD1" w:rsidRDefault="00A56F47" w:rsidP="00A56F47">
      <w:pPr>
        <w:pStyle w:val="Heading2"/>
        <w:spacing w:before="0" w:line="480" w:lineRule="auto"/>
        <w:rPr>
          <w:rFonts w:ascii="Arial" w:eastAsia="DengXian Light" w:hAnsi="Arial" w:cs="Arial"/>
          <w:b/>
          <w:bCs/>
          <w:color w:val="auto"/>
          <w:sz w:val="22"/>
          <w:szCs w:val="22"/>
          <w:lang w:val="en-US"/>
        </w:rPr>
      </w:pPr>
      <w:r w:rsidRPr="009C7DD1">
        <w:rPr>
          <w:rFonts w:ascii="Arial" w:eastAsia="DengXian Light" w:hAnsi="Arial" w:cs="Arial"/>
          <w:b/>
          <w:bCs/>
          <w:color w:val="auto"/>
          <w:sz w:val="22"/>
          <w:szCs w:val="22"/>
          <w:lang w:val="en-US"/>
        </w:rPr>
        <w:t>SUPPLEMENTARY MATERIAL</w:t>
      </w:r>
    </w:p>
    <w:p w:rsidR="00A56F47" w:rsidRPr="009C7DD1" w:rsidRDefault="00A56F47" w:rsidP="00A56F47">
      <w:pPr>
        <w:pStyle w:val="Heading3"/>
        <w:spacing w:line="480" w:lineRule="auto"/>
        <w:rPr>
          <w:rFonts w:ascii="Arial" w:eastAsia="DengXian Light" w:hAnsi="Arial" w:cs="Arial"/>
          <w:b/>
          <w:color w:val="auto"/>
          <w:sz w:val="22"/>
          <w:szCs w:val="22"/>
          <w:lang w:val="en-US"/>
        </w:rPr>
      </w:pPr>
      <w:bookmarkStart w:id="0" w:name="_Hlk156987792"/>
      <w:r w:rsidRPr="009C7DD1">
        <w:rPr>
          <w:rFonts w:ascii="Arial" w:eastAsia="DengXian Light" w:hAnsi="Arial" w:cs="Arial"/>
          <w:b/>
          <w:color w:val="auto"/>
          <w:sz w:val="22"/>
          <w:szCs w:val="22"/>
          <w:lang w:val="en-US"/>
        </w:rPr>
        <w:t>Plain language summary</w:t>
      </w:r>
    </w:p>
    <w:bookmarkEnd w:id="0"/>
    <w:p w:rsidR="00A56F47" w:rsidRPr="009C7DD1" w:rsidRDefault="00A56F47" w:rsidP="00405002">
      <w:pPr>
        <w:spacing w:afterLines="60" w:line="480" w:lineRule="auto"/>
        <w:rPr>
          <w:rFonts w:ascii="Arial" w:hAnsi="Arial" w:cs="Arial"/>
          <w:bCs/>
          <w:lang w:val="en-US"/>
        </w:rPr>
      </w:pPr>
      <w:r w:rsidRPr="009C7DD1">
        <w:rPr>
          <w:rFonts w:ascii="Arial" w:hAnsi="Arial" w:cs="Arial"/>
          <w:bCs/>
          <w:lang w:val="en-US"/>
        </w:rPr>
        <w:t>Checkpoint inhibitors (CPIs) are a group of anticancer drugs that are recommended as the first treatment for a type of kidney cancer that has spread to other parts of the body</w:t>
      </w:r>
      <w:r w:rsidR="002B6C47" w:rsidRPr="009C7DD1">
        <w:rPr>
          <w:rFonts w:ascii="Arial" w:hAnsi="Arial" w:cs="Arial"/>
          <w:bCs/>
          <w:lang w:val="en-US"/>
        </w:rPr>
        <w:t>,</w:t>
      </w:r>
      <w:r w:rsidRPr="009C7DD1">
        <w:rPr>
          <w:rFonts w:ascii="Arial" w:hAnsi="Arial" w:cs="Arial"/>
          <w:bCs/>
          <w:lang w:val="en-US"/>
        </w:rPr>
        <w:t xml:space="preserve"> called metastatic renal cell carcinoma (mRCC). Cabozantinib is a member of another group of anticancer drugs called tyrosine kinase inhibitors (TKIs), which are also approved for treating mRCC. Cabozantinib is approved for use after CPI treatment in the USA. We investigated how well either cabozantinib or other TKIs worked after CPI treatment when used for patients who were treated in routine clinical practice in the USA. We analyzed patient data from the US Oncology Network database supplemented by other medical records. We included data from 485 patients who had mRCC and had started TKI treatment (after CPI treatment) between May 2016 and November 2021. After 6 months of treatment with a TKI, 63% of patients who received cabozantinib had responded to treatment (based on their doctor’s assessment) compared with 46% of patients who received another TKI. We found that patients lived for a median of 19 months after starting treatment with either cabozantinib or another TKI. Overall, our study shows that cabozantinib is an effective treatment for mRCC for patients who have already received CPI treatment, based on how their disease responded to treatment.</w:t>
      </w:r>
    </w:p>
    <w:p w:rsidR="00A56F47" w:rsidRPr="009C7DD1" w:rsidRDefault="00A56F47" w:rsidP="00A56F47">
      <w:pPr>
        <w:rPr>
          <w:rFonts w:ascii="Arial" w:hAnsi="Arial" w:cs="Arial"/>
          <w:lang w:val="en-US"/>
        </w:rPr>
      </w:pPr>
    </w:p>
    <w:p w:rsidR="00A56F47" w:rsidRPr="009C7DD1" w:rsidRDefault="00A56F47" w:rsidP="00405002">
      <w:pPr>
        <w:spacing w:afterLines="60" w:line="480" w:lineRule="auto"/>
        <w:rPr>
          <w:rFonts w:ascii="Arial" w:eastAsia="DengXian Light" w:hAnsi="Arial" w:cs="Arial"/>
          <w:b/>
          <w:lang w:val="en-US"/>
        </w:rPr>
        <w:sectPr w:rsidR="00A56F47" w:rsidRPr="009C7DD1" w:rsidSect="00A56F47">
          <w:headerReference w:type="default" r:id="rId8"/>
          <w:footerReference w:type="default" r:id="rId9"/>
          <w:pgSz w:w="11906" w:h="16838"/>
          <w:pgMar w:top="1440" w:right="1440" w:bottom="1440" w:left="1440" w:header="708" w:footer="708" w:gutter="0"/>
          <w:cols w:space="708"/>
          <w:docGrid w:linePitch="360"/>
        </w:sectPr>
      </w:pPr>
    </w:p>
    <w:p w:rsidR="000D2448" w:rsidRPr="009C7DD1" w:rsidRDefault="005B4BC1" w:rsidP="00090CA3">
      <w:pPr>
        <w:pStyle w:val="Heading3"/>
        <w:rPr>
          <w:rFonts w:ascii="Arial" w:eastAsia="DengXian Light" w:hAnsi="Arial" w:cs="Arial"/>
          <w:b/>
          <w:bCs/>
          <w:color w:val="auto"/>
          <w:sz w:val="22"/>
          <w:szCs w:val="22"/>
          <w:lang w:val="en-US"/>
        </w:rPr>
      </w:pPr>
      <w:r w:rsidRPr="009C7DD1">
        <w:rPr>
          <w:rFonts w:ascii="Arial" w:eastAsia="DengXian Light" w:hAnsi="Arial" w:cs="Arial"/>
          <w:b/>
          <w:bCs/>
          <w:color w:val="auto"/>
          <w:sz w:val="22"/>
          <w:szCs w:val="22"/>
          <w:lang w:val="en-US"/>
        </w:rPr>
        <w:lastRenderedPageBreak/>
        <w:t>Supplementary Table S</w:t>
      </w:r>
      <w:r w:rsidR="000C68C8" w:rsidRPr="009C7DD1">
        <w:rPr>
          <w:rFonts w:ascii="Arial" w:eastAsia="DengXian Light" w:hAnsi="Arial" w:cs="Arial"/>
          <w:b/>
          <w:bCs/>
          <w:color w:val="auto"/>
          <w:sz w:val="22"/>
          <w:szCs w:val="22"/>
          <w:lang w:val="en-US"/>
        </w:rPr>
        <w:t>1</w:t>
      </w:r>
      <w:r w:rsidRPr="009C7DD1">
        <w:rPr>
          <w:rFonts w:ascii="Arial" w:eastAsia="DengXian Light" w:hAnsi="Arial" w:cs="Arial"/>
          <w:b/>
          <w:bCs/>
          <w:color w:val="auto"/>
          <w:sz w:val="22"/>
          <w:szCs w:val="22"/>
          <w:lang w:val="en-US"/>
        </w:rPr>
        <w:t xml:space="preserve">. </w:t>
      </w:r>
      <w:r w:rsidR="00CB5F02" w:rsidRPr="009C7DD1">
        <w:rPr>
          <w:rFonts w:ascii="Arial" w:eastAsia="DengXian Light" w:hAnsi="Arial" w:cs="Arial"/>
          <w:b/>
          <w:bCs/>
          <w:color w:val="auto"/>
          <w:sz w:val="22"/>
          <w:szCs w:val="22"/>
          <w:lang w:val="en-US"/>
        </w:rPr>
        <w:t>O</w:t>
      </w:r>
      <w:r w:rsidRPr="009C7DD1">
        <w:rPr>
          <w:rFonts w:ascii="Arial" w:eastAsia="DengXian Light" w:hAnsi="Arial" w:cs="Arial"/>
          <w:b/>
          <w:bCs/>
          <w:color w:val="auto"/>
          <w:sz w:val="22"/>
          <w:szCs w:val="22"/>
          <w:lang w:val="en-US"/>
        </w:rPr>
        <w:t>utcomes in the 2L TKI subgroup</w:t>
      </w:r>
      <w:r w:rsidR="002A35BF" w:rsidRPr="009C7DD1">
        <w:rPr>
          <w:rFonts w:ascii="Arial" w:eastAsia="DengXian Light" w:hAnsi="Arial" w:cs="Arial"/>
          <w:b/>
          <w:bCs/>
          <w:color w:val="auto"/>
          <w:sz w:val="22"/>
          <w:szCs w:val="22"/>
          <w:lang w:val="en-US"/>
        </w:rPr>
        <w:t xml:space="preserve"> </w:t>
      </w:r>
      <w:r w:rsidRPr="009C7DD1">
        <w:rPr>
          <w:rFonts w:ascii="Arial" w:eastAsia="DengXian Light" w:hAnsi="Arial" w:cs="Arial"/>
          <w:b/>
          <w:bCs/>
          <w:color w:val="auto"/>
          <w:sz w:val="22"/>
          <w:szCs w:val="22"/>
          <w:lang w:val="en-US"/>
        </w:rPr>
        <w:t>(</w:t>
      </w:r>
      <w:r w:rsidR="00CB5F02" w:rsidRPr="009C7DD1">
        <w:rPr>
          <w:rFonts w:ascii="Arial" w:eastAsia="DengXian Light" w:hAnsi="Arial" w:cs="Arial"/>
          <w:b/>
          <w:bCs/>
          <w:color w:val="auto"/>
          <w:sz w:val="22"/>
          <w:szCs w:val="22"/>
          <w:lang w:val="en-US"/>
        </w:rPr>
        <w:t xml:space="preserve">2L </w:t>
      </w:r>
      <w:r w:rsidRPr="009C7DD1">
        <w:rPr>
          <w:rFonts w:ascii="Arial" w:eastAsia="DengXian Light" w:hAnsi="Arial" w:cs="Arial"/>
          <w:b/>
          <w:bCs/>
          <w:color w:val="auto"/>
          <w:sz w:val="22"/>
          <w:szCs w:val="22"/>
          <w:lang w:val="en-US"/>
        </w:rPr>
        <w:t xml:space="preserve">cabozantinib </w:t>
      </w:r>
      <w:r w:rsidR="00CB5F02" w:rsidRPr="009C7DD1">
        <w:rPr>
          <w:rFonts w:ascii="Arial" w:eastAsia="DengXian Light" w:hAnsi="Arial" w:cs="Arial"/>
          <w:b/>
          <w:bCs/>
          <w:color w:val="auto"/>
          <w:sz w:val="22"/>
          <w:szCs w:val="22"/>
          <w:lang w:val="en-US"/>
        </w:rPr>
        <w:t>and</w:t>
      </w:r>
      <w:r w:rsidRPr="009C7DD1">
        <w:rPr>
          <w:rFonts w:ascii="Arial" w:eastAsia="DengXian Light" w:hAnsi="Arial" w:cs="Arial"/>
          <w:b/>
          <w:bCs/>
          <w:color w:val="auto"/>
          <w:sz w:val="22"/>
          <w:szCs w:val="22"/>
          <w:lang w:val="en-US"/>
        </w:rPr>
        <w:t xml:space="preserve"> other </w:t>
      </w:r>
      <w:r w:rsidR="00CB5F02" w:rsidRPr="009C7DD1">
        <w:rPr>
          <w:rFonts w:ascii="Arial" w:eastAsia="DengXian Light" w:hAnsi="Arial" w:cs="Arial"/>
          <w:b/>
          <w:bCs/>
          <w:color w:val="auto"/>
          <w:sz w:val="22"/>
          <w:szCs w:val="22"/>
          <w:lang w:val="en-US"/>
        </w:rPr>
        <w:t xml:space="preserve">2L </w:t>
      </w:r>
      <w:r w:rsidRPr="009C7DD1">
        <w:rPr>
          <w:rFonts w:ascii="Arial" w:eastAsia="DengXian Light" w:hAnsi="Arial" w:cs="Arial"/>
          <w:b/>
          <w:bCs/>
          <w:color w:val="auto"/>
          <w:sz w:val="22"/>
          <w:szCs w:val="22"/>
          <w:lang w:val="en-US"/>
        </w:rPr>
        <w:t>TKI</w:t>
      </w:r>
      <w:r w:rsidR="00CB5F02" w:rsidRPr="009C7DD1">
        <w:rPr>
          <w:rFonts w:ascii="Arial" w:eastAsia="DengXian Light" w:hAnsi="Arial" w:cs="Arial"/>
          <w:b/>
          <w:bCs/>
          <w:color w:val="auto"/>
          <w:sz w:val="22"/>
          <w:szCs w:val="22"/>
          <w:lang w:val="en-US"/>
        </w:rPr>
        <w:t>s</w:t>
      </w:r>
      <w:r w:rsidRPr="009C7DD1">
        <w:rPr>
          <w:rFonts w:ascii="Arial" w:eastAsia="DengXian Light" w:hAnsi="Arial" w:cs="Arial"/>
          <w:b/>
          <w:bCs/>
          <w:color w:val="auto"/>
          <w:sz w:val="22"/>
          <w:szCs w:val="22"/>
          <w:lang w:val="en-US"/>
        </w:rPr>
        <w:t>)</w:t>
      </w:r>
    </w:p>
    <w:tbl>
      <w:tblPr>
        <w:tblW w:w="5409" w:type="pct"/>
        <w:tblInd w:w="-5"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4349"/>
        <w:gridCol w:w="1370"/>
        <w:gridCol w:w="1370"/>
        <w:gridCol w:w="1370"/>
        <w:gridCol w:w="1370"/>
      </w:tblGrid>
      <w:tr w:rsidR="005B4BC1" w:rsidRPr="009C7DD1" w:rsidTr="00D32E81">
        <w:trPr>
          <w:cantSplit/>
        </w:trPr>
        <w:tc>
          <w:tcPr>
            <w:tcW w:w="4320" w:type="dxa"/>
            <w:vMerge w:val="restart"/>
            <w:shd w:val="clear" w:color="auto" w:fill="auto"/>
            <w:tcMar>
              <w:left w:w="60" w:type="dxa"/>
              <w:right w:w="60" w:type="dxa"/>
            </w:tcMar>
            <w:vAlign w:val="center"/>
          </w:tcPr>
          <w:p w:rsidR="005B4BC1" w:rsidRPr="009C7DD1" w:rsidRDefault="005B4BC1" w:rsidP="00445002">
            <w:pPr>
              <w:keepNext/>
              <w:autoSpaceDE w:val="0"/>
              <w:autoSpaceDN w:val="0"/>
              <w:adjustRightInd w:val="0"/>
              <w:spacing w:after="0" w:line="360" w:lineRule="auto"/>
              <w:rPr>
                <w:rFonts w:ascii="Arial" w:eastAsiaTheme="minorEastAsia" w:hAnsi="Arial" w:cs="Arial"/>
                <w:b/>
                <w:bCs/>
                <w:lang w:val="en-US"/>
              </w:rPr>
            </w:pPr>
          </w:p>
        </w:tc>
        <w:tc>
          <w:tcPr>
            <w:tcW w:w="2722" w:type="dxa"/>
            <w:gridSpan w:val="2"/>
            <w:tcBorders>
              <w:top w:val="single" w:sz="4" w:space="0" w:color="auto"/>
              <w:bottom w:val="nil"/>
            </w:tcBorders>
            <w:shd w:val="clear" w:color="auto" w:fill="auto"/>
            <w:tcMar>
              <w:left w:w="60" w:type="dxa"/>
              <w:right w:w="60" w:type="dxa"/>
            </w:tcMar>
            <w:vAlign w:val="center"/>
          </w:tcPr>
          <w:p w:rsidR="005B4BC1" w:rsidRPr="009C7DD1" w:rsidRDefault="005B4BC1" w:rsidP="00445002">
            <w:pPr>
              <w:keepNext/>
              <w:autoSpaceDE w:val="0"/>
              <w:autoSpaceDN w:val="0"/>
              <w:adjustRightInd w:val="0"/>
              <w:spacing w:after="0" w:line="360" w:lineRule="auto"/>
              <w:jc w:val="center"/>
              <w:rPr>
                <w:rFonts w:ascii="Arial" w:eastAsiaTheme="minorEastAsia" w:hAnsi="Arial" w:cs="Arial"/>
                <w:b/>
                <w:bCs/>
                <w:lang w:val="en-US"/>
              </w:rPr>
            </w:pPr>
            <w:r w:rsidRPr="009C7DD1">
              <w:rPr>
                <w:rFonts w:ascii="Arial" w:eastAsiaTheme="minorEastAsia" w:hAnsi="Arial" w:cs="Arial"/>
                <w:b/>
                <w:bCs/>
                <w:lang w:val="en-US"/>
              </w:rPr>
              <w:t>Unadjusted</w:t>
            </w:r>
          </w:p>
        </w:tc>
        <w:tc>
          <w:tcPr>
            <w:tcW w:w="2722" w:type="dxa"/>
            <w:gridSpan w:val="2"/>
            <w:tcBorders>
              <w:top w:val="single" w:sz="4" w:space="0" w:color="auto"/>
              <w:bottom w:val="nil"/>
            </w:tcBorders>
            <w:shd w:val="clear" w:color="auto" w:fill="auto"/>
            <w:vAlign w:val="center"/>
          </w:tcPr>
          <w:p w:rsidR="005B4BC1" w:rsidRPr="009C7DD1" w:rsidRDefault="005B4BC1" w:rsidP="00445002">
            <w:pPr>
              <w:keepNext/>
              <w:autoSpaceDE w:val="0"/>
              <w:autoSpaceDN w:val="0"/>
              <w:adjustRightInd w:val="0"/>
              <w:spacing w:after="0" w:line="360" w:lineRule="auto"/>
              <w:jc w:val="center"/>
              <w:rPr>
                <w:rFonts w:ascii="Arial" w:eastAsiaTheme="minorEastAsia" w:hAnsi="Arial" w:cs="Arial"/>
                <w:b/>
                <w:bCs/>
                <w:lang w:val="en-US"/>
              </w:rPr>
            </w:pPr>
            <w:r w:rsidRPr="009C7DD1">
              <w:rPr>
                <w:rFonts w:ascii="Arial" w:eastAsiaTheme="minorEastAsia" w:hAnsi="Arial" w:cs="Arial"/>
                <w:b/>
                <w:bCs/>
                <w:lang w:val="en-US"/>
              </w:rPr>
              <w:t>Adjusted</w:t>
            </w:r>
          </w:p>
        </w:tc>
      </w:tr>
      <w:tr w:rsidR="005B4BC1" w:rsidRPr="009C7DD1" w:rsidTr="00D32E81">
        <w:trPr>
          <w:cantSplit/>
        </w:trPr>
        <w:tc>
          <w:tcPr>
            <w:tcW w:w="4320" w:type="dxa"/>
            <w:vMerge/>
            <w:shd w:val="clear" w:color="auto" w:fill="auto"/>
            <w:tcMar>
              <w:left w:w="60" w:type="dxa"/>
              <w:right w:w="60" w:type="dxa"/>
            </w:tcMar>
            <w:vAlign w:val="center"/>
          </w:tcPr>
          <w:p w:rsidR="005B4BC1" w:rsidRPr="009C7DD1" w:rsidRDefault="005B4BC1" w:rsidP="00445002">
            <w:pPr>
              <w:keepNext/>
              <w:autoSpaceDE w:val="0"/>
              <w:autoSpaceDN w:val="0"/>
              <w:adjustRightInd w:val="0"/>
              <w:spacing w:after="0" w:line="360" w:lineRule="auto"/>
              <w:rPr>
                <w:rFonts w:ascii="Arial" w:eastAsiaTheme="minorEastAsia" w:hAnsi="Arial" w:cs="Arial"/>
                <w:b/>
                <w:bCs/>
                <w:lang w:val="en-US"/>
              </w:rPr>
            </w:pPr>
          </w:p>
        </w:tc>
        <w:tc>
          <w:tcPr>
            <w:tcW w:w="1361" w:type="dxa"/>
            <w:tcBorders>
              <w:top w:val="nil"/>
            </w:tcBorders>
            <w:shd w:val="clear" w:color="auto" w:fill="auto"/>
            <w:tcMar>
              <w:left w:w="60" w:type="dxa"/>
              <w:right w:w="60" w:type="dxa"/>
            </w:tcMar>
            <w:vAlign w:val="center"/>
          </w:tcPr>
          <w:p w:rsidR="005B4BC1" w:rsidRPr="009C7DD1" w:rsidRDefault="005B4BC1" w:rsidP="00445002">
            <w:pPr>
              <w:keepNext/>
              <w:autoSpaceDE w:val="0"/>
              <w:autoSpaceDN w:val="0"/>
              <w:adjustRightInd w:val="0"/>
              <w:spacing w:after="0" w:line="360" w:lineRule="auto"/>
              <w:jc w:val="center"/>
              <w:rPr>
                <w:rFonts w:ascii="Arial" w:eastAsiaTheme="minorEastAsia" w:hAnsi="Arial" w:cs="Arial"/>
                <w:b/>
                <w:bCs/>
                <w:lang w:val="en-US"/>
              </w:rPr>
            </w:pPr>
            <w:r w:rsidRPr="009C7DD1">
              <w:rPr>
                <w:rFonts w:ascii="Arial" w:eastAsiaTheme="minorEastAsia" w:hAnsi="Arial" w:cs="Arial"/>
                <w:b/>
                <w:bCs/>
                <w:lang w:val="en-US"/>
              </w:rPr>
              <w:t xml:space="preserve">2L </w:t>
            </w:r>
            <w:proofErr w:type="spellStart"/>
            <w:r w:rsidRPr="009C7DD1">
              <w:rPr>
                <w:rFonts w:ascii="Arial" w:eastAsiaTheme="minorEastAsia" w:hAnsi="Arial" w:cs="Arial"/>
                <w:b/>
                <w:bCs/>
                <w:lang w:val="en-US"/>
              </w:rPr>
              <w:t>cabo-zantinib</w:t>
            </w:r>
            <w:proofErr w:type="spellEnd"/>
          </w:p>
        </w:tc>
        <w:tc>
          <w:tcPr>
            <w:tcW w:w="1361" w:type="dxa"/>
            <w:tcBorders>
              <w:top w:val="nil"/>
            </w:tcBorders>
            <w:shd w:val="clear" w:color="auto" w:fill="auto"/>
            <w:tcMar>
              <w:left w:w="60" w:type="dxa"/>
              <w:right w:w="60" w:type="dxa"/>
            </w:tcMar>
            <w:vAlign w:val="center"/>
          </w:tcPr>
          <w:p w:rsidR="005B4BC1" w:rsidRPr="009C7DD1" w:rsidRDefault="005B4BC1" w:rsidP="00445002">
            <w:pPr>
              <w:keepNext/>
              <w:autoSpaceDE w:val="0"/>
              <w:autoSpaceDN w:val="0"/>
              <w:adjustRightInd w:val="0"/>
              <w:spacing w:after="0" w:line="360" w:lineRule="auto"/>
              <w:jc w:val="center"/>
              <w:rPr>
                <w:rFonts w:ascii="Arial" w:eastAsiaTheme="minorEastAsia" w:hAnsi="Arial" w:cs="Arial"/>
                <w:b/>
                <w:bCs/>
                <w:lang w:val="en-US"/>
              </w:rPr>
            </w:pPr>
            <w:r w:rsidRPr="009C7DD1">
              <w:rPr>
                <w:rFonts w:ascii="Arial" w:eastAsiaTheme="minorEastAsia" w:hAnsi="Arial" w:cs="Arial"/>
                <w:b/>
                <w:bCs/>
                <w:lang w:val="en-US"/>
              </w:rPr>
              <w:t xml:space="preserve">Other </w:t>
            </w:r>
            <w:r w:rsidRPr="009C7DD1">
              <w:rPr>
                <w:rFonts w:ascii="Arial" w:eastAsiaTheme="minorEastAsia" w:hAnsi="Arial" w:cs="Arial"/>
                <w:b/>
                <w:bCs/>
                <w:lang w:val="en-US"/>
              </w:rPr>
              <w:br/>
              <w:t>2L TKIs</w:t>
            </w:r>
          </w:p>
        </w:tc>
        <w:tc>
          <w:tcPr>
            <w:tcW w:w="1361" w:type="dxa"/>
            <w:tcBorders>
              <w:top w:val="nil"/>
            </w:tcBorders>
            <w:shd w:val="clear" w:color="auto" w:fill="auto"/>
            <w:vAlign w:val="center"/>
          </w:tcPr>
          <w:p w:rsidR="005B4BC1" w:rsidRPr="009C7DD1" w:rsidRDefault="005B4BC1" w:rsidP="00445002">
            <w:pPr>
              <w:keepNext/>
              <w:autoSpaceDE w:val="0"/>
              <w:autoSpaceDN w:val="0"/>
              <w:adjustRightInd w:val="0"/>
              <w:spacing w:after="0" w:line="360" w:lineRule="auto"/>
              <w:jc w:val="center"/>
              <w:rPr>
                <w:rFonts w:ascii="Arial" w:eastAsiaTheme="minorEastAsia" w:hAnsi="Arial" w:cs="Arial"/>
                <w:b/>
                <w:bCs/>
                <w:lang w:val="en-US"/>
              </w:rPr>
            </w:pPr>
            <w:r w:rsidRPr="009C7DD1">
              <w:rPr>
                <w:rFonts w:ascii="Arial" w:eastAsiaTheme="minorEastAsia" w:hAnsi="Arial" w:cs="Arial"/>
                <w:b/>
                <w:bCs/>
                <w:lang w:val="en-US"/>
              </w:rPr>
              <w:t xml:space="preserve">2L </w:t>
            </w:r>
            <w:proofErr w:type="spellStart"/>
            <w:r w:rsidRPr="009C7DD1">
              <w:rPr>
                <w:rFonts w:ascii="Arial" w:eastAsiaTheme="minorEastAsia" w:hAnsi="Arial" w:cs="Arial"/>
                <w:b/>
                <w:bCs/>
                <w:lang w:val="en-US"/>
              </w:rPr>
              <w:t>cabo-zantinib</w:t>
            </w:r>
            <w:proofErr w:type="spellEnd"/>
          </w:p>
        </w:tc>
        <w:tc>
          <w:tcPr>
            <w:tcW w:w="1361" w:type="dxa"/>
            <w:tcBorders>
              <w:top w:val="nil"/>
            </w:tcBorders>
            <w:shd w:val="clear" w:color="auto" w:fill="auto"/>
            <w:vAlign w:val="center"/>
          </w:tcPr>
          <w:p w:rsidR="005B4BC1" w:rsidRPr="009C7DD1" w:rsidRDefault="005B4BC1" w:rsidP="00445002">
            <w:pPr>
              <w:keepNext/>
              <w:autoSpaceDE w:val="0"/>
              <w:autoSpaceDN w:val="0"/>
              <w:adjustRightInd w:val="0"/>
              <w:spacing w:after="0" w:line="360" w:lineRule="auto"/>
              <w:jc w:val="center"/>
              <w:rPr>
                <w:rFonts w:ascii="Arial" w:eastAsiaTheme="minorEastAsia" w:hAnsi="Arial" w:cs="Arial"/>
                <w:b/>
                <w:bCs/>
                <w:lang w:val="en-US"/>
              </w:rPr>
            </w:pPr>
            <w:r w:rsidRPr="009C7DD1">
              <w:rPr>
                <w:rFonts w:ascii="Arial" w:eastAsiaTheme="minorEastAsia" w:hAnsi="Arial" w:cs="Arial"/>
                <w:b/>
                <w:bCs/>
                <w:lang w:val="en-US"/>
              </w:rPr>
              <w:t xml:space="preserve">Other </w:t>
            </w:r>
            <w:r w:rsidRPr="009C7DD1">
              <w:rPr>
                <w:rFonts w:ascii="Arial" w:eastAsiaTheme="minorEastAsia" w:hAnsi="Arial" w:cs="Arial"/>
                <w:b/>
                <w:bCs/>
                <w:lang w:val="en-US"/>
              </w:rPr>
              <w:br/>
              <w:t>2L TKIs</w:t>
            </w:r>
          </w:p>
        </w:tc>
      </w:tr>
      <w:tr w:rsidR="00F909E4" w:rsidRPr="009C7DD1" w:rsidTr="00F909E4">
        <w:trPr>
          <w:cantSplit/>
        </w:trPr>
        <w:tc>
          <w:tcPr>
            <w:tcW w:w="4320" w:type="dxa"/>
            <w:shd w:val="clear" w:color="auto" w:fill="000000" w:themeFill="text1"/>
            <w:tcMar>
              <w:left w:w="60" w:type="dxa"/>
              <w:right w:w="60" w:type="dxa"/>
            </w:tcMar>
            <w:vAlign w:val="center"/>
          </w:tcPr>
          <w:p w:rsidR="00F909E4" w:rsidRPr="009C7DD1" w:rsidRDefault="00F909E4" w:rsidP="002A35BF">
            <w:pPr>
              <w:autoSpaceDE w:val="0"/>
              <w:autoSpaceDN w:val="0"/>
              <w:adjustRightInd w:val="0"/>
              <w:spacing w:after="0" w:line="360" w:lineRule="auto"/>
              <w:rPr>
                <w:rFonts w:ascii="Arial" w:hAnsi="Arial" w:cs="Arial"/>
                <w:color w:val="FFFFFF" w:themeColor="background1"/>
                <w:lang w:val="en-US"/>
              </w:rPr>
            </w:pPr>
            <w:r w:rsidRPr="009C7DD1">
              <w:rPr>
                <w:rFonts w:ascii="Arial" w:hAnsi="Arial" w:cs="Arial"/>
                <w:b/>
                <w:bCs/>
                <w:color w:val="FFFFFF" w:themeColor="background1"/>
                <w:lang w:val="en-US"/>
              </w:rPr>
              <w:t>RR-6m</w:t>
            </w:r>
          </w:p>
        </w:tc>
        <w:tc>
          <w:tcPr>
            <w:tcW w:w="1361" w:type="dxa"/>
            <w:shd w:val="clear" w:color="auto" w:fill="000000" w:themeFill="text1"/>
            <w:tcMar>
              <w:left w:w="60" w:type="dxa"/>
              <w:right w:w="60" w:type="dxa"/>
            </w:tcMar>
            <w:vAlign w:val="center"/>
          </w:tcPr>
          <w:p w:rsidR="00F909E4" w:rsidRPr="009C7DD1" w:rsidRDefault="00F909E4" w:rsidP="002A35BF">
            <w:pPr>
              <w:autoSpaceDE w:val="0"/>
              <w:autoSpaceDN w:val="0"/>
              <w:adjustRightInd w:val="0"/>
              <w:spacing w:after="0" w:line="360" w:lineRule="auto"/>
              <w:jc w:val="center"/>
              <w:rPr>
                <w:rFonts w:ascii="Arial" w:eastAsiaTheme="minorEastAsia" w:hAnsi="Arial" w:cs="Arial"/>
                <w:color w:val="FFFFFF" w:themeColor="background1"/>
                <w:lang w:val="en-US"/>
              </w:rPr>
            </w:pPr>
          </w:p>
        </w:tc>
        <w:tc>
          <w:tcPr>
            <w:tcW w:w="1361" w:type="dxa"/>
            <w:shd w:val="clear" w:color="auto" w:fill="000000" w:themeFill="text1"/>
            <w:tcMar>
              <w:left w:w="60" w:type="dxa"/>
              <w:right w:w="60" w:type="dxa"/>
            </w:tcMar>
            <w:vAlign w:val="center"/>
          </w:tcPr>
          <w:p w:rsidR="00F909E4" w:rsidRPr="009C7DD1" w:rsidRDefault="00F909E4" w:rsidP="002A35BF">
            <w:pPr>
              <w:autoSpaceDE w:val="0"/>
              <w:autoSpaceDN w:val="0"/>
              <w:adjustRightInd w:val="0"/>
              <w:spacing w:after="0" w:line="360" w:lineRule="auto"/>
              <w:jc w:val="center"/>
              <w:rPr>
                <w:rFonts w:ascii="Arial" w:eastAsiaTheme="minorEastAsia" w:hAnsi="Arial" w:cs="Arial"/>
                <w:color w:val="FFFFFF" w:themeColor="background1"/>
                <w:lang w:val="en-US"/>
              </w:rPr>
            </w:pPr>
          </w:p>
        </w:tc>
        <w:tc>
          <w:tcPr>
            <w:tcW w:w="1361" w:type="dxa"/>
            <w:shd w:val="clear" w:color="auto" w:fill="000000" w:themeFill="text1"/>
            <w:vAlign w:val="center"/>
          </w:tcPr>
          <w:p w:rsidR="00F909E4" w:rsidRPr="009C7DD1" w:rsidRDefault="00F909E4" w:rsidP="002A35BF">
            <w:pPr>
              <w:autoSpaceDE w:val="0"/>
              <w:autoSpaceDN w:val="0"/>
              <w:adjustRightInd w:val="0"/>
              <w:spacing w:after="0" w:line="360" w:lineRule="auto"/>
              <w:jc w:val="center"/>
              <w:rPr>
                <w:rFonts w:ascii="Arial" w:eastAsiaTheme="minorEastAsia" w:hAnsi="Arial" w:cs="Arial"/>
                <w:color w:val="FFFFFF" w:themeColor="background1"/>
                <w:lang w:val="en-US"/>
              </w:rPr>
            </w:pPr>
          </w:p>
        </w:tc>
        <w:tc>
          <w:tcPr>
            <w:tcW w:w="1361" w:type="dxa"/>
            <w:shd w:val="clear" w:color="auto" w:fill="000000" w:themeFill="text1"/>
            <w:vAlign w:val="center"/>
          </w:tcPr>
          <w:p w:rsidR="00F909E4" w:rsidRPr="009C7DD1" w:rsidRDefault="00F909E4" w:rsidP="002A35BF">
            <w:pPr>
              <w:autoSpaceDE w:val="0"/>
              <w:autoSpaceDN w:val="0"/>
              <w:adjustRightInd w:val="0"/>
              <w:spacing w:after="0" w:line="360" w:lineRule="auto"/>
              <w:jc w:val="center"/>
              <w:rPr>
                <w:rFonts w:ascii="Arial" w:eastAsiaTheme="minorEastAsia" w:hAnsi="Arial" w:cs="Arial"/>
                <w:color w:val="FFFFFF" w:themeColor="background1"/>
                <w:lang w:val="en-US"/>
              </w:rPr>
            </w:pPr>
          </w:p>
        </w:tc>
      </w:tr>
      <w:tr w:rsidR="002A35BF" w:rsidRPr="009C7DD1" w:rsidTr="00445002">
        <w:trPr>
          <w:cantSplit/>
        </w:trPr>
        <w:tc>
          <w:tcPr>
            <w:tcW w:w="4320" w:type="dxa"/>
            <w:shd w:val="clear" w:color="auto" w:fill="FFFFFF"/>
            <w:tcMar>
              <w:left w:w="60" w:type="dxa"/>
              <w:right w:w="60" w:type="dxa"/>
            </w:tcMar>
            <w:vAlign w:val="center"/>
          </w:tcPr>
          <w:p w:rsidR="002A35BF" w:rsidRPr="009C7DD1" w:rsidRDefault="002A35BF" w:rsidP="002A35BF">
            <w:pPr>
              <w:autoSpaceDE w:val="0"/>
              <w:autoSpaceDN w:val="0"/>
              <w:adjustRightInd w:val="0"/>
              <w:spacing w:after="0" w:line="360" w:lineRule="auto"/>
              <w:rPr>
                <w:rFonts w:ascii="Arial" w:eastAsiaTheme="minorEastAsia" w:hAnsi="Arial" w:cs="Arial"/>
                <w:color w:val="000000"/>
                <w:lang w:val="en-US"/>
              </w:rPr>
            </w:pPr>
            <w:r w:rsidRPr="009C7DD1">
              <w:rPr>
                <w:rFonts w:ascii="Arial" w:hAnsi="Arial" w:cs="Arial"/>
                <w:color w:val="000000"/>
                <w:lang w:val="en-US"/>
              </w:rPr>
              <w:t>Patients with evaluable responses</w:t>
            </w:r>
            <w:r w:rsidR="005B3336" w:rsidRPr="009C7DD1">
              <w:rPr>
                <w:rFonts w:ascii="Arial" w:hAnsi="Arial" w:cs="Arial"/>
                <w:color w:val="000000"/>
                <w:lang w:val="en-US"/>
              </w:rPr>
              <w:t xml:space="preserve"> at 6 months</w:t>
            </w:r>
          </w:p>
        </w:tc>
        <w:tc>
          <w:tcPr>
            <w:tcW w:w="1361" w:type="dxa"/>
            <w:shd w:val="clear" w:color="auto" w:fill="FFFFFF"/>
            <w:tcMar>
              <w:left w:w="60" w:type="dxa"/>
              <w:right w:w="60" w:type="dxa"/>
            </w:tcMar>
            <w:vAlign w:val="center"/>
          </w:tcPr>
          <w:p w:rsidR="002A35BF" w:rsidRPr="009C7DD1" w:rsidRDefault="002A35BF" w:rsidP="002A35BF">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78</w:t>
            </w:r>
          </w:p>
        </w:tc>
        <w:tc>
          <w:tcPr>
            <w:tcW w:w="1361" w:type="dxa"/>
            <w:shd w:val="clear" w:color="auto" w:fill="FFFFFF"/>
            <w:tcMar>
              <w:left w:w="60" w:type="dxa"/>
              <w:right w:w="60" w:type="dxa"/>
            </w:tcMar>
            <w:vAlign w:val="center"/>
          </w:tcPr>
          <w:p w:rsidR="002A35BF" w:rsidRPr="009C7DD1" w:rsidRDefault="002A35BF" w:rsidP="002A35BF">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28</w:t>
            </w:r>
          </w:p>
        </w:tc>
        <w:tc>
          <w:tcPr>
            <w:tcW w:w="1361" w:type="dxa"/>
            <w:shd w:val="clear" w:color="auto" w:fill="FFFFFF"/>
            <w:vAlign w:val="center"/>
          </w:tcPr>
          <w:p w:rsidR="002A35BF" w:rsidRPr="009C7DD1" w:rsidRDefault="002A35BF" w:rsidP="002A35BF">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103.9</w:t>
            </w:r>
            <w:r w:rsidRPr="009C7DD1">
              <w:rPr>
                <w:rFonts w:ascii="Arial" w:eastAsiaTheme="minorEastAsia" w:hAnsi="Arial" w:cs="Arial"/>
                <w:color w:val="000000"/>
                <w:vertAlign w:val="superscript"/>
                <w:lang w:val="en-US"/>
              </w:rPr>
              <w:t>a</w:t>
            </w:r>
          </w:p>
        </w:tc>
        <w:tc>
          <w:tcPr>
            <w:tcW w:w="1361" w:type="dxa"/>
            <w:shd w:val="clear" w:color="auto" w:fill="FFFFFF"/>
            <w:vAlign w:val="center"/>
          </w:tcPr>
          <w:p w:rsidR="002A35BF" w:rsidRPr="009C7DD1" w:rsidRDefault="002A35BF" w:rsidP="002A35BF">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63.6</w:t>
            </w:r>
            <w:r w:rsidRPr="009C7DD1">
              <w:rPr>
                <w:rFonts w:ascii="Arial" w:eastAsiaTheme="minorEastAsia" w:hAnsi="Arial" w:cs="Arial"/>
                <w:color w:val="000000"/>
                <w:vertAlign w:val="superscript"/>
                <w:lang w:val="en-US"/>
              </w:rPr>
              <w:t>a</w:t>
            </w:r>
          </w:p>
        </w:tc>
      </w:tr>
      <w:tr w:rsidR="005B4BC1" w:rsidRPr="009C7DD1" w:rsidTr="00445002">
        <w:trPr>
          <w:cantSplit/>
        </w:trPr>
        <w:tc>
          <w:tcPr>
            <w:tcW w:w="4320" w:type="dxa"/>
            <w:shd w:val="clear" w:color="auto" w:fill="FFFFFF"/>
            <w:tcMar>
              <w:left w:w="60" w:type="dxa"/>
              <w:right w:w="60" w:type="dxa"/>
            </w:tcMar>
            <w:vAlign w:val="center"/>
          </w:tcPr>
          <w:p w:rsidR="005B4BC1" w:rsidRPr="009C7DD1" w:rsidRDefault="002A35BF" w:rsidP="00445002">
            <w:pPr>
              <w:autoSpaceDE w:val="0"/>
              <w:autoSpaceDN w:val="0"/>
              <w:adjustRightInd w:val="0"/>
              <w:spacing w:after="0" w:line="360" w:lineRule="auto"/>
              <w:rPr>
                <w:rFonts w:ascii="Arial" w:eastAsiaTheme="minorEastAsia" w:hAnsi="Arial" w:cs="Arial"/>
                <w:color w:val="000000"/>
                <w:lang w:val="en-US"/>
              </w:rPr>
            </w:pPr>
            <w:r w:rsidRPr="009C7DD1">
              <w:rPr>
                <w:rFonts w:ascii="Arial" w:hAnsi="Arial" w:cs="Arial"/>
                <w:b/>
                <w:bCs/>
                <w:color w:val="000000"/>
                <w:lang w:val="en-US"/>
              </w:rPr>
              <w:t>RR-6m</w:t>
            </w:r>
            <w:r w:rsidR="005B4BC1" w:rsidRPr="009C7DD1">
              <w:rPr>
                <w:rFonts w:ascii="Arial" w:hAnsi="Arial" w:cs="Arial"/>
                <w:b/>
                <w:bCs/>
                <w:color w:val="000000"/>
                <w:lang w:val="en-US"/>
              </w:rPr>
              <w:t>, n (%)</w:t>
            </w:r>
            <w:r w:rsidR="005B4BC1" w:rsidRPr="009C7DD1">
              <w:rPr>
                <w:rFonts w:ascii="Arial" w:hAnsi="Arial" w:cs="Arial"/>
                <w:color w:val="000000"/>
                <w:vertAlign w:val="superscript"/>
                <w:lang w:val="en-US"/>
              </w:rPr>
              <w:t>b</w:t>
            </w:r>
          </w:p>
        </w:tc>
        <w:tc>
          <w:tcPr>
            <w:tcW w:w="1361" w:type="dxa"/>
            <w:shd w:val="clear" w:color="auto" w:fill="FFFFFF"/>
            <w:tcMar>
              <w:left w:w="60" w:type="dxa"/>
              <w:right w:w="60" w:type="dxa"/>
            </w:tcMar>
          </w:tcPr>
          <w:p w:rsidR="005B4BC1" w:rsidRPr="009C7DD1" w:rsidRDefault="002A35BF"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44 (56.4)</w:t>
            </w:r>
          </w:p>
        </w:tc>
        <w:tc>
          <w:tcPr>
            <w:tcW w:w="1361" w:type="dxa"/>
            <w:shd w:val="clear" w:color="auto" w:fill="FFFFFF"/>
            <w:tcMar>
              <w:left w:w="60" w:type="dxa"/>
              <w:right w:w="60" w:type="dxa"/>
            </w:tcMar>
          </w:tcPr>
          <w:p w:rsidR="005B4BC1" w:rsidRPr="009C7DD1" w:rsidRDefault="002A35BF"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15 (53.6)</w:t>
            </w:r>
          </w:p>
        </w:tc>
        <w:tc>
          <w:tcPr>
            <w:tcW w:w="1361" w:type="dxa"/>
            <w:shd w:val="clear" w:color="auto" w:fill="FFFFFF"/>
          </w:tcPr>
          <w:p w:rsidR="005B4BC1" w:rsidRPr="009C7DD1" w:rsidRDefault="005B3336"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57.9 (55.8)</w:t>
            </w:r>
          </w:p>
        </w:tc>
        <w:tc>
          <w:tcPr>
            <w:tcW w:w="1361" w:type="dxa"/>
            <w:shd w:val="clear" w:color="auto" w:fill="FFFFFF"/>
          </w:tcPr>
          <w:p w:rsidR="005B4BC1" w:rsidRPr="009C7DD1" w:rsidRDefault="005B3336"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30.8 (48.4)</w:t>
            </w:r>
          </w:p>
        </w:tc>
      </w:tr>
      <w:tr w:rsidR="005B4BC1" w:rsidRPr="009C7DD1" w:rsidTr="00445002">
        <w:trPr>
          <w:cantSplit/>
        </w:trPr>
        <w:tc>
          <w:tcPr>
            <w:tcW w:w="4320" w:type="dxa"/>
            <w:shd w:val="clear" w:color="auto" w:fill="FFFFFF"/>
            <w:tcMar>
              <w:left w:w="60" w:type="dxa"/>
              <w:right w:w="60" w:type="dxa"/>
            </w:tcMar>
            <w:vAlign w:val="center"/>
          </w:tcPr>
          <w:p w:rsidR="005B4BC1" w:rsidRPr="009C7DD1" w:rsidRDefault="005B4BC1" w:rsidP="00445002">
            <w:pPr>
              <w:autoSpaceDE w:val="0"/>
              <w:autoSpaceDN w:val="0"/>
              <w:adjustRightInd w:val="0"/>
              <w:spacing w:after="0" w:line="360" w:lineRule="auto"/>
              <w:ind w:left="170"/>
              <w:rPr>
                <w:rFonts w:ascii="Arial" w:hAnsi="Arial" w:cs="Arial"/>
                <w:b/>
                <w:bCs/>
                <w:color w:val="000000"/>
                <w:lang w:val="it-IT"/>
              </w:rPr>
            </w:pPr>
            <w:r w:rsidRPr="009C7DD1">
              <w:rPr>
                <w:rFonts w:ascii="Arial" w:hAnsi="Arial" w:cs="Arial"/>
                <w:color w:val="000000"/>
                <w:lang w:val="it-IT"/>
              </w:rPr>
              <w:t>Rate difference (90% CI [non-inferiority])</w:t>
            </w:r>
          </w:p>
        </w:tc>
        <w:tc>
          <w:tcPr>
            <w:tcW w:w="2722" w:type="dxa"/>
            <w:gridSpan w:val="2"/>
            <w:shd w:val="clear" w:color="auto" w:fill="FFFFFF"/>
            <w:tcMar>
              <w:left w:w="60" w:type="dxa"/>
              <w:right w:w="60" w:type="dxa"/>
            </w:tcMar>
            <w:vAlign w:val="center"/>
          </w:tcPr>
          <w:p w:rsidR="002A35BF" w:rsidRPr="009C7DD1" w:rsidRDefault="002A35BF" w:rsidP="00445002">
            <w:pPr>
              <w:autoSpaceDE w:val="0"/>
              <w:autoSpaceDN w:val="0"/>
              <w:adjustRightInd w:val="0"/>
              <w:spacing w:after="0" w:line="360" w:lineRule="auto"/>
              <w:jc w:val="center"/>
              <w:rPr>
                <w:rFonts w:ascii="Arial" w:eastAsia="DengXian Light" w:hAnsi="Arial" w:cs="Arial"/>
                <w:bCs/>
                <w:lang w:val="en-US"/>
              </w:rPr>
            </w:pPr>
            <w:r w:rsidRPr="009C7DD1">
              <w:rPr>
                <w:rFonts w:ascii="Arial" w:eastAsia="DengXian Light" w:hAnsi="Arial" w:cs="Arial"/>
                <w:bCs/>
                <w:lang w:val="en-US"/>
              </w:rPr>
              <w:t>2.8% (–14.8 to 20.5);</w:t>
            </w:r>
          </w:p>
          <w:p w:rsidR="005B4BC1" w:rsidRPr="009C7DD1" w:rsidRDefault="002A35BF"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DengXian Light" w:hAnsi="Arial" w:cs="Arial"/>
                <w:bCs/>
                <w:i/>
                <w:iCs/>
                <w:lang w:val="en-US"/>
              </w:rPr>
              <w:t>p </w:t>
            </w:r>
            <w:r w:rsidRPr="009C7DD1">
              <w:rPr>
                <w:rFonts w:ascii="Arial" w:eastAsia="DengXian Light" w:hAnsi="Arial" w:cs="Arial"/>
                <w:bCs/>
                <w:lang w:val="en-US"/>
              </w:rPr>
              <w:t>= 0.1159</w:t>
            </w:r>
          </w:p>
        </w:tc>
        <w:tc>
          <w:tcPr>
            <w:tcW w:w="2722" w:type="dxa"/>
            <w:gridSpan w:val="2"/>
            <w:shd w:val="clear" w:color="auto" w:fill="FFFFFF"/>
            <w:vAlign w:val="center"/>
          </w:tcPr>
          <w:p w:rsidR="005B3336" w:rsidRPr="009C7DD1" w:rsidRDefault="005B3336" w:rsidP="00445002">
            <w:pPr>
              <w:autoSpaceDE w:val="0"/>
              <w:autoSpaceDN w:val="0"/>
              <w:adjustRightInd w:val="0"/>
              <w:spacing w:after="0" w:line="360" w:lineRule="auto"/>
              <w:jc w:val="center"/>
              <w:rPr>
                <w:rFonts w:ascii="Arial" w:eastAsia="DengXian Light" w:hAnsi="Arial" w:cs="Arial"/>
                <w:bCs/>
                <w:lang w:val="en-US"/>
              </w:rPr>
            </w:pPr>
            <w:r w:rsidRPr="009C7DD1">
              <w:rPr>
                <w:rFonts w:ascii="Arial" w:eastAsia="DengXian Light" w:hAnsi="Arial" w:cs="Arial"/>
                <w:bCs/>
                <w:lang w:val="en-US"/>
              </w:rPr>
              <w:t>7.4% (–5.6 to 20.3)</w:t>
            </w:r>
            <w:r w:rsidR="001053C8" w:rsidRPr="009C7DD1">
              <w:rPr>
                <w:rFonts w:ascii="Arial" w:eastAsia="DengXian Light" w:hAnsi="Arial" w:cs="Arial"/>
                <w:bCs/>
                <w:lang w:val="en-US"/>
              </w:rPr>
              <w:t>;</w:t>
            </w:r>
          </w:p>
          <w:p w:rsidR="005B4BC1" w:rsidRPr="009C7DD1" w:rsidRDefault="002A35BF"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DengXian Light" w:hAnsi="Arial" w:cs="Arial"/>
                <w:bCs/>
                <w:i/>
                <w:iCs/>
                <w:lang w:val="en-US"/>
              </w:rPr>
              <w:t>p</w:t>
            </w:r>
            <w:r w:rsidRPr="009C7DD1">
              <w:rPr>
                <w:rFonts w:ascii="Arial" w:eastAsia="DengXian Light" w:hAnsi="Arial" w:cs="Arial"/>
                <w:bCs/>
                <w:lang w:val="en-US"/>
              </w:rPr>
              <w:t xml:space="preserve"> = 0.0137</w:t>
            </w:r>
          </w:p>
        </w:tc>
      </w:tr>
      <w:tr w:rsidR="005B4BC1" w:rsidRPr="009C7DD1" w:rsidTr="00445002">
        <w:trPr>
          <w:cantSplit/>
        </w:trPr>
        <w:tc>
          <w:tcPr>
            <w:tcW w:w="4320" w:type="dxa"/>
            <w:shd w:val="clear" w:color="auto" w:fill="FFFFFF"/>
            <w:tcMar>
              <w:left w:w="60" w:type="dxa"/>
              <w:right w:w="60" w:type="dxa"/>
            </w:tcMar>
            <w:vAlign w:val="center"/>
          </w:tcPr>
          <w:p w:rsidR="005B4BC1" w:rsidRPr="009C7DD1" w:rsidRDefault="005B4BC1" w:rsidP="00445002">
            <w:pPr>
              <w:autoSpaceDE w:val="0"/>
              <w:autoSpaceDN w:val="0"/>
              <w:adjustRightInd w:val="0"/>
              <w:spacing w:after="0" w:line="360" w:lineRule="auto"/>
              <w:ind w:left="170"/>
              <w:rPr>
                <w:rFonts w:ascii="Arial" w:hAnsi="Arial" w:cs="Arial"/>
                <w:b/>
                <w:bCs/>
                <w:color w:val="000000"/>
                <w:vertAlign w:val="superscript"/>
                <w:lang w:val="it-IT"/>
              </w:rPr>
            </w:pPr>
            <w:r w:rsidRPr="009C7DD1">
              <w:rPr>
                <w:rFonts w:ascii="Arial" w:hAnsi="Arial" w:cs="Arial"/>
                <w:color w:val="000000"/>
                <w:lang w:val="it-IT"/>
              </w:rPr>
              <w:t>Rate difference (95% CI [superiority])</w:t>
            </w:r>
            <w:r w:rsidRPr="009C7DD1">
              <w:rPr>
                <w:rFonts w:ascii="Arial" w:hAnsi="Arial" w:cs="Arial"/>
                <w:color w:val="000000"/>
                <w:vertAlign w:val="superscript"/>
                <w:lang w:val="it-IT"/>
              </w:rPr>
              <w:t>c</w:t>
            </w:r>
          </w:p>
        </w:tc>
        <w:tc>
          <w:tcPr>
            <w:tcW w:w="2722" w:type="dxa"/>
            <w:gridSpan w:val="2"/>
            <w:shd w:val="clear" w:color="auto" w:fill="FFFFFF"/>
            <w:tcMar>
              <w:left w:w="60" w:type="dxa"/>
              <w:right w:w="60" w:type="dxa"/>
            </w:tcMar>
            <w:vAlign w:val="center"/>
          </w:tcPr>
          <w:p w:rsidR="005B4BC1" w:rsidRPr="009C7DD1" w:rsidRDefault="001F722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DengXian Light" w:hAnsi="Arial" w:cs="Arial"/>
                <w:bCs/>
                <w:lang w:val="en-US"/>
              </w:rPr>
              <w:t>NA</w:t>
            </w:r>
          </w:p>
        </w:tc>
        <w:tc>
          <w:tcPr>
            <w:tcW w:w="2722" w:type="dxa"/>
            <w:gridSpan w:val="2"/>
            <w:shd w:val="clear" w:color="auto" w:fill="FFFFFF"/>
            <w:vAlign w:val="center"/>
          </w:tcPr>
          <w:p w:rsidR="005B4BC1" w:rsidRPr="009C7DD1" w:rsidRDefault="005B3336"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7.4% (–8.</w:t>
            </w:r>
            <w:r w:rsidR="001F7221" w:rsidRPr="009C7DD1">
              <w:rPr>
                <w:rFonts w:ascii="Arial" w:eastAsiaTheme="minorEastAsia" w:hAnsi="Arial" w:cs="Arial"/>
                <w:color w:val="000000"/>
                <w:lang w:val="en-US"/>
              </w:rPr>
              <w:t>2</w:t>
            </w:r>
            <w:r w:rsidRPr="009C7DD1">
              <w:rPr>
                <w:rFonts w:ascii="Arial" w:eastAsiaTheme="minorEastAsia" w:hAnsi="Arial" w:cs="Arial"/>
                <w:color w:val="000000"/>
                <w:lang w:val="en-US"/>
              </w:rPr>
              <w:t xml:space="preserve"> to 22.9);</w:t>
            </w:r>
          </w:p>
          <w:p w:rsidR="005B3336" w:rsidRPr="009C7DD1" w:rsidRDefault="005B3336"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i/>
                <w:iCs/>
                <w:color w:val="000000"/>
                <w:lang w:val="en-US"/>
              </w:rPr>
              <w:t>p</w:t>
            </w:r>
            <w:r w:rsidRPr="009C7DD1">
              <w:rPr>
                <w:rFonts w:ascii="Arial" w:eastAsiaTheme="minorEastAsia" w:hAnsi="Arial" w:cs="Arial"/>
                <w:color w:val="000000"/>
                <w:lang w:val="en-US"/>
              </w:rPr>
              <w:t xml:space="preserve"> = 0.3528</w:t>
            </w:r>
          </w:p>
        </w:tc>
      </w:tr>
      <w:tr w:rsidR="00F909E4" w:rsidRPr="009C7DD1" w:rsidTr="00F909E4">
        <w:trPr>
          <w:cantSplit/>
        </w:trPr>
        <w:tc>
          <w:tcPr>
            <w:tcW w:w="4320" w:type="dxa"/>
            <w:shd w:val="clear" w:color="auto" w:fill="000000" w:themeFill="text1"/>
            <w:tcMar>
              <w:left w:w="60" w:type="dxa"/>
              <w:right w:w="60" w:type="dxa"/>
            </w:tcMar>
            <w:vAlign w:val="center"/>
          </w:tcPr>
          <w:p w:rsidR="00F909E4" w:rsidRPr="009C7DD1" w:rsidRDefault="00F909E4" w:rsidP="00F909E4">
            <w:pPr>
              <w:autoSpaceDE w:val="0"/>
              <w:autoSpaceDN w:val="0"/>
              <w:adjustRightInd w:val="0"/>
              <w:spacing w:after="0" w:line="360" w:lineRule="auto"/>
              <w:rPr>
                <w:rFonts w:ascii="Arial" w:hAnsi="Arial" w:cs="Arial"/>
                <w:b/>
                <w:bCs/>
                <w:color w:val="FFFFFF" w:themeColor="background1"/>
                <w:lang w:val="it-IT"/>
              </w:rPr>
            </w:pPr>
            <w:r w:rsidRPr="009C7DD1">
              <w:rPr>
                <w:rFonts w:ascii="Arial" w:hAnsi="Arial" w:cs="Arial"/>
                <w:b/>
                <w:bCs/>
                <w:color w:val="FFFFFF" w:themeColor="background1"/>
                <w:lang w:val="it-IT"/>
              </w:rPr>
              <w:t>ORR</w:t>
            </w:r>
          </w:p>
        </w:tc>
        <w:tc>
          <w:tcPr>
            <w:tcW w:w="2722" w:type="dxa"/>
            <w:gridSpan w:val="2"/>
            <w:shd w:val="clear" w:color="auto" w:fill="000000" w:themeFill="text1"/>
            <w:tcMar>
              <w:left w:w="60" w:type="dxa"/>
              <w:right w:w="60" w:type="dxa"/>
            </w:tcMar>
            <w:vAlign w:val="center"/>
          </w:tcPr>
          <w:p w:rsidR="00F909E4" w:rsidRPr="009C7DD1" w:rsidRDefault="00F909E4" w:rsidP="002A35BF">
            <w:pPr>
              <w:autoSpaceDE w:val="0"/>
              <w:autoSpaceDN w:val="0"/>
              <w:adjustRightInd w:val="0"/>
              <w:spacing w:after="0" w:line="360" w:lineRule="auto"/>
              <w:jc w:val="center"/>
              <w:rPr>
                <w:rFonts w:ascii="Arial" w:eastAsia="DengXian Light" w:hAnsi="Arial" w:cs="Arial"/>
                <w:bCs/>
                <w:color w:val="FFFFFF" w:themeColor="background1"/>
                <w:lang w:val="en-US"/>
              </w:rPr>
            </w:pPr>
          </w:p>
        </w:tc>
        <w:tc>
          <w:tcPr>
            <w:tcW w:w="2722" w:type="dxa"/>
            <w:gridSpan w:val="2"/>
            <w:shd w:val="clear" w:color="auto" w:fill="000000" w:themeFill="text1"/>
            <w:vAlign w:val="center"/>
          </w:tcPr>
          <w:p w:rsidR="00F909E4" w:rsidRPr="009C7DD1" w:rsidRDefault="00F909E4" w:rsidP="00445002">
            <w:pPr>
              <w:autoSpaceDE w:val="0"/>
              <w:autoSpaceDN w:val="0"/>
              <w:adjustRightInd w:val="0"/>
              <w:spacing w:after="0" w:line="360" w:lineRule="auto"/>
              <w:jc w:val="center"/>
              <w:rPr>
                <w:rFonts w:ascii="Arial" w:eastAsiaTheme="minorEastAsia" w:hAnsi="Arial" w:cs="Arial"/>
                <w:color w:val="FFFFFF" w:themeColor="background1"/>
                <w:lang w:val="en-US"/>
              </w:rPr>
            </w:pPr>
          </w:p>
        </w:tc>
      </w:tr>
      <w:tr w:rsidR="002B6D85" w:rsidRPr="009C7DD1" w:rsidTr="00314C9A">
        <w:trPr>
          <w:cantSplit/>
        </w:trPr>
        <w:tc>
          <w:tcPr>
            <w:tcW w:w="4320" w:type="dxa"/>
            <w:shd w:val="clear" w:color="auto" w:fill="FFFFFF"/>
            <w:tcMar>
              <w:left w:w="60" w:type="dxa"/>
              <w:right w:w="60" w:type="dxa"/>
            </w:tcMar>
            <w:vAlign w:val="center"/>
          </w:tcPr>
          <w:p w:rsidR="002B6D85" w:rsidRPr="00BA7A01" w:rsidRDefault="002B6D85" w:rsidP="005B3336">
            <w:pPr>
              <w:autoSpaceDE w:val="0"/>
              <w:autoSpaceDN w:val="0"/>
              <w:adjustRightInd w:val="0"/>
              <w:spacing w:after="0" w:line="360" w:lineRule="auto"/>
              <w:rPr>
                <w:rFonts w:ascii="Arial" w:hAnsi="Arial" w:cs="Arial"/>
                <w:color w:val="000000"/>
                <w:lang w:val="en-US"/>
              </w:rPr>
            </w:pPr>
            <w:r w:rsidRPr="009C7DD1">
              <w:rPr>
                <w:rFonts w:ascii="Arial" w:hAnsi="Arial" w:cs="Arial"/>
                <w:color w:val="000000"/>
                <w:lang w:val="en-US"/>
              </w:rPr>
              <w:t>Patients with evaluable responses during full index period</w:t>
            </w:r>
          </w:p>
        </w:tc>
        <w:tc>
          <w:tcPr>
            <w:tcW w:w="1361" w:type="dxa"/>
            <w:shd w:val="clear" w:color="auto" w:fill="FFFFFF"/>
            <w:tcMar>
              <w:left w:w="60" w:type="dxa"/>
              <w:right w:w="60" w:type="dxa"/>
            </w:tcMar>
            <w:vAlign w:val="center"/>
          </w:tcPr>
          <w:p w:rsidR="002B6D85" w:rsidRPr="009C7DD1" w:rsidRDefault="002B6D85"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82</w:t>
            </w:r>
          </w:p>
        </w:tc>
        <w:tc>
          <w:tcPr>
            <w:tcW w:w="1361" w:type="dxa"/>
            <w:shd w:val="clear" w:color="auto" w:fill="FFFFFF"/>
            <w:vAlign w:val="center"/>
          </w:tcPr>
          <w:p w:rsidR="002B6D85" w:rsidRPr="009C7DD1" w:rsidRDefault="002B6D85"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31</w:t>
            </w:r>
          </w:p>
        </w:tc>
        <w:tc>
          <w:tcPr>
            <w:tcW w:w="1361" w:type="dxa"/>
            <w:shd w:val="clear" w:color="auto" w:fill="FFFFFF"/>
            <w:vAlign w:val="center"/>
          </w:tcPr>
          <w:p w:rsidR="002B6D85" w:rsidRPr="009C7DD1" w:rsidRDefault="002B6D85"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110.0</w:t>
            </w:r>
            <w:r w:rsidRPr="009C7DD1">
              <w:rPr>
                <w:rFonts w:ascii="Arial" w:eastAsiaTheme="minorEastAsia" w:hAnsi="Arial" w:cs="Arial"/>
                <w:color w:val="000000"/>
                <w:vertAlign w:val="superscript"/>
                <w:lang w:val="en-US"/>
              </w:rPr>
              <w:t>a</w:t>
            </w:r>
          </w:p>
        </w:tc>
        <w:tc>
          <w:tcPr>
            <w:tcW w:w="1361" w:type="dxa"/>
            <w:shd w:val="clear" w:color="auto" w:fill="FFFFFF"/>
            <w:vAlign w:val="center"/>
          </w:tcPr>
          <w:p w:rsidR="002B6D85" w:rsidRPr="009C7DD1" w:rsidRDefault="002B6D85"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69.9</w:t>
            </w:r>
            <w:r w:rsidRPr="009C7DD1">
              <w:rPr>
                <w:rFonts w:ascii="Arial" w:eastAsiaTheme="minorEastAsia" w:hAnsi="Arial" w:cs="Arial"/>
                <w:color w:val="000000"/>
                <w:vertAlign w:val="superscript"/>
                <w:lang w:val="en-US"/>
              </w:rPr>
              <w:t>a</w:t>
            </w:r>
          </w:p>
        </w:tc>
      </w:tr>
      <w:tr w:rsidR="005B3336" w:rsidRPr="009C7DD1" w:rsidTr="004049D7">
        <w:trPr>
          <w:cantSplit/>
        </w:trPr>
        <w:tc>
          <w:tcPr>
            <w:tcW w:w="4320" w:type="dxa"/>
            <w:shd w:val="clear" w:color="auto" w:fill="FFFFFF"/>
            <w:tcMar>
              <w:left w:w="60" w:type="dxa"/>
              <w:right w:w="60" w:type="dxa"/>
            </w:tcMar>
            <w:vAlign w:val="center"/>
          </w:tcPr>
          <w:p w:rsidR="005B3336" w:rsidRPr="009C7DD1" w:rsidRDefault="005B3336" w:rsidP="005B3336">
            <w:pPr>
              <w:autoSpaceDE w:val="0"/>
              <w:autoSpaceDN w:val="0"/>
              <w:adjustRightInd w:val="0"/>
              <w:spacing w:after="0" w:line="360" w:lineRule="auto"/>
              <w:ind w:left="170" w:hanging="170"/>
              <w:rPr>
                <w:rFonts w:ascii="Arial" w:hAnsi="Arial" w:cs="Arial"/>
                <w:b/>
                <w:bCs/>
                <w:color w:val="000000"/>
                <w:lang w:val="it-IT"/>
              </w:rPr>
            </w:pPr>
            <w:r w:rsidRPr="009C7DD1">
              <w:rPr>
                <w:rFonts w:ascii="Arial" w:hAnsi="Arial" w:cs="Arial"/>
                <w:b/>
                <w:bCs/>
                <w:color w:val="000000"/>
                <w:lang w:val="it-IT"/>
              </w:rPr>
              <w:t>ORR, n (%)</w:t>
            </w:r>
            <w:r w:rsidRPr="009C7DD1">
              <w:rPr>
                <w:rFonts w:ascii="Arial" w:hAnsi="Arial" w:cs="Arial"/>
                <w:color w:val="000000"/>
                <w:vertAlign w:val="superscript"/>
                <w:lang w:val="en-US"/>
              </w:rPr>
              <w:t>b</w:t>
            </w:r>
          </w:p>
        </w:tc>
        <w:tc>
          <w:tcPr>
            <w:tcW w:w="1361" w:type="dxa"/>
            <w:shd w:val="clear" w:color="auto" w:fill="FFFFFF"/>
            <w:tcMar>
              <w:left w:w="60" w:type="dxa"/>
              <w:right w:w="60" w:type="dxa"/>
            </w:tcMar>
            <w:vAlign w:val="center"/>
          </w:tcPr>
          <w:p w:rsidR="005B3336" w:rsidRPr="009C7DD1" w:rsidRDefault="002B6D85"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49 (59.8)</w:t>
            </w:r>
          </w:p>
        </w:tc>
        <w:tc>
          <w:tcPr>
            <w:tcW w:w="1361" w:type="dxa"/>
            <w:shd w:val="clear" w:color="auto" w:fill="FFFFFF"/>
            <w:vAlign w:val="center"/>
          </w:tcPr>
          <w:p w:rsidR="005B3336" w:rsidRPr="009C7DD1" w:rsidRDefault="002B6D85"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w:t>
            </w:r>
            <w:r w:rsidR="00BC2935" w:rsidRPr="009C7DD1">
              <w:rPr>
                <w:rFonts w:ascii="Arial" w:eastAsiaTheme="minorEastAsia" w:hAnsi="Arial" w:cs="Arial"/>
                <w:color w:val="000000"/>
                <w:lang w:val="en-US"/>
              </w:rPr>
              <w:t>8</w:t>
            </w:r>
            <w:r w:rsidRPr="009C7DD1">
              <w:rPr>
                <w:rFonts w:ascii="Arial" w:eastAsiaTheme="minorEastAsia" w:hAnsi="Arial" w:cs="Arial"/>
                <w:color w:val="000000"/>
                <w:lang w:val="en-US"/>
              </w:rPr>
              <w:t xml:space="preserve"> (58.1)</w:t>
            </w:r>
          </w:p>
        </w:tc>
        <w:tc>
          <w:tcPr>
            <w:tcW w:w="1361" w:type="dxa"/>
            <w:shd w:val="clear" w:color="auto" w:fill="FFFFFF"/>
            <w:vAlign w:val="center"/>
          </w:tcPr>
          <w:p w:rsidR="005B3336" w:rsidRPr="009C7DD1" w:rsidRDefault="005B3336"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65.1 (59.2)</w:t>
            </w:r>
          </w:p>
        </w:tc>
        <w:tc>
          <w:tcPr>
            <w:tcW w:w="1361" w:type="dxa"/>
            <w:shd w:val="clear" w:color="auto" w:fill="FFFFFF"/>
            <w:vAlign w:val="center"/>
          </w:tcPr>
          <w:p w:rsidR="005B3336" w:rsidRPr="009C7DD1" w:rsidRDefault="005B3336"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36.9 (52.9)</w:t>
            </w:r>
          </w:p>
        </w:tc>
      </w:tr>
      <w:tr w:rsidR="005B3336" w:rsidRPr="009C7DD1" w:rsidTr="00445002">
        <w:trPr>
          <w:cantSplit/>
        </w:trPr>
        <w:tc>
          <w:tcPr>
            <w:tcW w:w="4320" w:type="dxa"/>
            <w:shd w:val="clear" w:color="auto" w:fill="FFFFFF"/>
            <w:tcMar>
              <w:left w:w="60" w:type="dxa"/>
              <w:right w:w="60" w:type="dxa"/>
            </w:tcMar>
            <w:vAlign w:val="center"/>
          </w:tcPr>
          <w:p w:rsidR="005B3336" w:rsidRPr="009C7DD1" w:rsidRDefault="005B3336" w:rsidP="005B3336">
            <w:pPr>
              <w:autoSpaceDE w:val="0"/>
              <w:autoSpaceDN w:val="0"/>
              <w:adjustRightInd w:val="0"/>
              <w:spacing w:after="0" w:line="360" w:lineRule="auto"/>
              <w:ind w:left="170"/>
              <w:rPr>
                <w:rFonts w:ascii="Arial" w:hAnsi="Arial" w:cs="Arial"/>
                <w:color w:val="000000"/>
                <w:lang w:val="it-IT"/>
              </w:rPr>
            </w:pPr>
            <w:r w:rsidRPr="009C7DD1">
              <w:rPr>
                <w:rFonts w:ascii="Arial" w:hAnsi="Arial" w:cs="Arial"/>
                <w:color w:val="000000"/>
                <w:lang w:val="it-IT"/>
              </w:rPr>
              <w:t>Rate difference (90% CI [non-inferiority])</w:t>
            </w:r>
          </w:p>
        </w:tc>
        <w:tc>
          <w:tcPr>
            <w:tcW w:w="2722" w:type="dxa"/>
            <w:gridSpan w:val="2"/>
            <w:shd w:val="clear" w:color="auto" w:fill="FFFFFF"/>
            <w:tcMar>
              <w:left w:w="60" w:type="dxa"/>
              <w:right w:w="60" w:type="dxa"/>
            </w:tcMar>
            <w:vAlign w:val="center"/>
          </w:tcPr>
          <w:p w:rsidR="005B3336" w:rsidRPr="009C7DD1" w:rsidRDefault="002B6D85" w:rsidP="005B3336">
            <w:pPr>
              <w:autoSpaceDE w:val="0"/>
              <w:autoSpaceDN w:val="0"/>
              <w:adjustRightInd w:val="0"/>
              <w:spacing w:after="0" w:line="360" w:lineRule="auto"/>
              <w:jc w:val="center"/>
              <w:rPr>
                <w:rFonts w:ascii="Arial" w:eastAsia="DengXian Light" w:hAnsi="Arial" w:cs="Arial"/>
                <w:bCs/>
                <w:lang w:val="en-US"/>
              </w:rPr>
            </w:pPr>
            <w:r w:rsidRPr="009C7DD1">
              <w:rPr>
                <w:rFonts w:ascii="Arial" w:eastAsia="DengXian Light" w:hAnsi="Arial" w:cs="Arial"/>
                <w:bCs/>
                <w:lang w:val="en-US"/>
              </w:rPr>
              <w:t>1.7% (–14.9 to 18.3);</w:t>
            </w:r>
            <w:r w:rsidRPr="009C7DD1">
              <w:rPr>
                <w:rFonts w:ascii="Arial" w:eastAsia="DengXian Light" w:hAnsi="Arial" w:cs="Arial"/>
                <w:bCs/>
                <w:lang w:val="en-US"/>
              </w:rPr>
              <w:br/>
            </w:r>
            <w:r w:rsidRPr="009C7DD1">
              <w:rPr>
                <w:rFonts w:ascii="Arial" w:eastAsia="DengXian Light" w:hAnsi="Arial" w:cs="Arial"/>
                <w:bCs/>
                <w:i/>
                <w:iCs/>
                <w:lang w:val="en-US"/>
              </w:rPr>
              <w:t>p</w:t>
            </w:r>
            <w:r w:rsidRPr="009C7DD1">
              <w:rPr>
                <w:rFonts w:ascii="Arial" w:eastAsia="DengXian Light" w:hAnsi="Arial" w:cs="Arial"/>
                <w:bCs/>
                <w:lang w:val="en-US"/>
              </w:rPr>
              <w:t xml:space="preserve"> = 0.1236</w:t>
            </w:r>
          </w:p>
        </w:tc>
        <w:tc>
          <w:tcPr>
            <w:tcW w:w="2722" w:type="dxa"/>
            <w:gridSpan w:val="2"/>
            <w:shd w:val="clear" w:color="auto" w:fill="FFFFFF"/>
            <w:vAlign w:val="center"/>
          </w:tcPr>
          <w:p w:rsidR="005B3336" w:rsidRPr="009C7DD1" w:rsidRDefault="005B3336" w:rsidP="005B3336">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6.3% (–6.0 to 18.7);</w:t>
            </w:r>
          </w:p>
          <w:p w:rsidR="005B3336" w:rsidRPr="009C7DD1" w:rsidRDefault="005B3336" w:rsidP="005B3336">
            <w:pPr>
              <w:autoSpaceDE w:val="0"/>
              <w:autoSpaceDN w:val="0"/>
              <w:adjustRightInd w:val="0"/>
              <w:spacing w:after="0" w:line="360" w:lineRule="auto"/>
              <w:jc w:val="center"/>
              <w:rPr>
                <w:rFonts w:ascii="Arial" w:eastAsiaTheme="minorEastAsia" w:hAnsi="Arial" w:cs="Arial"/>
                <w:color w:val="000000"/>
                <w:sz w:val="20"/>
                <w:szCs w:val="20"/>
                <w:lang w:val="en-US"/>
              </w:rPr>
            </w:pPr>
            <w:r w:rsidRPr="009C7DD1">
              <w:rPr>
                <w:rFonts w:ascii="Arial" w:eastAsiaTheme="minorEastAsia" w:hAnsi="Arial" w:cs="Arial"/>
                <w:i/>
                <w:iCs/>
                <w:color w:val="000000"/>
                <w:lang w:val="en-US"/>
              </w:rPr>
              <w:t>p</w:t>
            </w:r>
            <w:r w:rsidRPr="009C7DD1">
              <w:rPr>
                <w:rFonts w:ascii="Arial" w:eastAsiaTheme="minorEastAsia" w:hAnsi="Arial" w:cs="Arial"/>
                <w:color w:val="000000"/>
                <w:lang w:val="en-US"/>
              </w:rPr>
              <w:t xml:space="preserve"> = 0.0146</w:t>
            </w:r>
          </w:p>
        </w:tc>
      </w:tr>
      <w:tr w:rsidR="005B3336" w:rsidRPr="009C7DD1" w:rsidTr="00445002">
        <w:trPr>
          <w:cantSplit/>
        </w:trPr>
        <w:tc>
          <w:tcPr>
            <w:tcW w:w="4320" w:type="dxa"/>
            <w:shd w:val="clear" w:color="auto" w:fill="FFFFFF"/>
            <w:tcMar>
              <w:left w:w="60" w:type="dxa"/>
              <w:right w:w="60" w:type="dxa"/>
            </w:tcMar>
            <w:vAlign w:val="center"/>
          </w:tcPr>
          <w:p w:rsidR="005B3336" w:rsidRPr="009C7DD1" w:rsidRDefault="005B3336" w:rsidP="005B3336">
            <w:pPr>
              <w:autoSpaceDE w:val="0"/>
              <w:autoSpaceDN w:val="0"/>
              <w:adjustRightInd w:val="0"/>
              <w:spacing w:after="0" w:line="360" w:lineRule="auto"/>
              <w:ind w:left="170"/>
              <w:rPr>
                <w:rFonts w:ascii="Arial" w:hAnsi="Arial" w:cs="Arial"/>
                <w:color w:val="000000"/>
                <w:lang w:val="it-IT"/>
              </w:rPr>
            </w:pPr>
            <w:r w:rsidRPr="009C7DD1">
              <w:rPr>
                <w:rFonts w:ascii="Arial" w:hAnsi="Arial" w:cs="Arial"/>
                <w:color w:val="000000"/>
                <w:lang w:val="it-IT"/>
              </w:rPr>
              <w:t>Rate difference (95% CI [superiority])</w:t>
            </w:r>
            <w:r w:rsidRPr="009C7DD1">
              <w:rPr>
                <w:rFonts w:ascii="Arial" w:hAnsi="Arial" w:cs="Arial"/>
                <w:color w:val="000000"/>
                <w:vertAlign w:val="superscript"/>
                <w:lang w:val="it-IT"/>
              </w:rPr>
              <w:t>c</w:t>
            </w:r>
          </w:p>
        </w:tc>
        <w:tc>
          <w:tcPr>
            <w:tcW w:w="2722" w:type="dxa"/>
            <w:gridSpan w:val="2"/>
            <w:shd w:val="clear" w:color="auto" w:fill="FFFFFF"/>
            <w:tcMar>
              <w:left w:w="60" w:type="dxa"/>
              <w:right w:w="60" w:type="dxa"/>
            </w:tcMar>
            <w:vAlign w:val="center"/>
          </w:tcPr>
          <w:p w:rsidR="002B6D85" w:rsidRPr="009C7DD1" w:rsidRDefault="001F7221" w:rsidP="005B3336">
            <w:pPr>
              <w:autoSpaceDE w:val="0"/>
              <w:autoSpaceDN w:val="0"/>
              <w:adjustRightInd w:val="0"/>
              <w:spacing w:after="0" w:line="360" w:lineRule="auto"/>
              <w:jc w:val="center"/>
              <w:rPr>
                <w:rFonts w:ascii="Arial" w:eastAsia="DengXian Light" w:hAnsi="Arial" w:cs="Arial"/>
                <w:bCs/>
                <w:lang w:val="en-US"/>
              </w:rPr>
            </w:pPr>
            <w:r w:rsidRPr="009C7DD1">
              <w:rPr>
                <w:rFonts w:ascii="Arial" w:eastAsia="DengXian Light" w:hAnsi="Arial" w:cs="Arial"/>
                <w:bCs/>
                <w:lang w:val="en-US"/>
              </w:rPr>
              <w:t>NA</w:t>
            </w:r>
          </w:p>
        </w:tc>
        <w:tc>
          <w:tcPr>
            <w:tcW w:w="2722" w:type="dxa"/>
            <w:gridSpan w:val="2"/>
            <w:shd w:val="clear" w:color="auto" w:fill="FFFFFF"/>
            <w:vAlign w:val="center"/>
          </w:tcPr>
          <w:p w:rsidR="005B3336" w:rsidRPr="009C7DD1" w:rsidRDefault="005B3336" w:rsidP="005B3336">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6.3% (–8.5 to 21.2);</w:t>
            </w:r>
            <w:r w:rsidRPr="009C7DD1">
              <w:rPr>
                <w:rFonts w:ascii="Arial" w:eastAsiaTheme="minorEastAsia" w:hAnsi="Arial" w:cs="Arial"/>
                <w:color w:val="000000"/>
                <w:lang w:val="en-US"/>
              </w:rPr>
              <w:br/>
            </w:r>
            <w:r w:rsidRPr="009C7DD1">
              <w:rPr>
                <w:rFonts w:ascii="Arial" w:eastAsiaTheme="minorEastAsia" w:hAnsi="Arial" w:cs="Arial"/>
                <w:i/>
                <w:iCs/>
                <w:color w:val="000000"/>
                <w:lang w:val="en-US"/>
              </w:rPr>
              <w:t>p</w:t>
            </w:r>
            <w:r w:rsidRPr="009C7DD1">
              <w:rPr>
                <w:rFonts w:ascii="Arial" w:eastAsiaTheme="minorEastAsia" w:hAnsi="Arial" w:cs="Arial"/>
                <w:color w:val="000000"/>
                <w:lang w:val="en-US"/>
              </w:rPr>
              <w:t xml:space="preserve"> = 0.4033</w:t>
            </w:r>
          </w:p>
        </w:tc>
      </w:tr>
      <w:tr w:rsidR="00F909E4" w:rsidRPr="009C7DD1" w:rsidTr="00F909E4">
        <w:trPr>
          <w:cantSplit/>
        </w:trPr>
        <w:tc>
          <w:tcPr>
            <w:tcW w:w="4320" w:type="dxa"/>
            <w:shd w:val="clear" w:color="auto" w:fill="000000" w:themeFill="text1"/>
            <w:tcMar>
              <w:left w:w="60" w:type="dxa"/>
              <w:right w:w="60" w:type="dxa"/>
            </w:tcMar>
            <w:vAlign w:val="center"/>
          </w:tcPr>
          <w:p w:rsidR="00F909E4" w:rsidRPr="009C7DD1" w:rsidRDefault="00F909E4" w:rsidP="00F909E4">
            <w:pPr>
              <w:autoSpaceDE w:val="0"/>
              <w:autoSpaceDN w:val="0"/>
              <w:adjustRightInd w:val="0"/>
              <w:spacing w:after="0" w:line="360" w:lineRule="auto"/>
              <w:rPr>
                <w:rFonts w:ascii="Arial" w:hAnsi="Arial" w:cs="Arial"/>
                <w:b/>
                <w:bCs/>
                <w:color w:val="FFFFFF" w:themeColor="background1"/>
                <w:lang w:val="it-IT"/>
              </w:rPr>
            </w:pPr>
            <w:r w:rsidRPr="009C7DD1">
              <w:rPr>
                <w:rFonts w:ascii="Arial" w:hAnsi="Arial" w:cs="Arial"/>
                <w:b/>
                <w:bCs/>
                <w:color w:val="FFFFFF" w:themeColor="background1"/>
                <w:lang w:val="it-IT"/>
              </w:rPr>
              <w:t>DOR</w:t>
            </w:r>
          </w:p>
        </w:tc>
        <w:tc>
          <w:tcPr>
            <w:tcW w:w="2722" w:type="dxa"/>
            <w:gridSpan w:val="2"/>
            <w:shd w:val="clear" w:color="auto" w:fill="000000" w:themeFill="text1"/>
            <w:tcMar>
              <w:left w:w="60" w:type="dxa"/>
              <w:right w:w="60" w:type="dxa"/>
            </w:tcMar>
            <w:vAlign w:val="center"/>
          </w:tcPr>
          <w:p w:rsidR="00F909E4" w:rsidRPr="009C7DD1" w:rsidRDefault="00F909E4" w:rsidP="005B3336">
            <w:pPr>
              <w:autoSpaceDE w:val="0"/>
              <w:autoSpaceDN w:val="0"/>
              <w:adjustRightInd w:val="0"/>
              <w:spacing w:after="0" w:line="360" w:lineRule="auto"/>
              <w:jc w:val="center"/>
              <w:rPr>
                <w:rFonts w:ascii="Arial" w:eastAsia="DengXian Light" w:hAnsi="Arial" w:cs="Arial"/>
                <w:b/>
                <w:bCs/>
                <w:color w:val="FFFFFF" w:themeColor="background1"/>
                <w:lang w:val="en-US"/>
              </w:rPr>
            </w:pPr>
          </w:p>
        </w:tc>
        <w:tc>
          <w:tcPr>
            <w:tcW w:w="2722" w:type="dxa"/>
            <w:gridSpan w:val="2"/>
            <w:shd w:val="clear" w:color="auto" w:fill="000000" w:themeFill="text1"/>
            <w:vAlign w:val="center"/>
          </w:tcPr>
          <w:p w:rsidR="00F909E4" w:rsidRPr="009C7DD1" w:rsidRDefault="00F909E4" w:rsidP="005B3336">
            <w:pPr>
              <w:autoSpaceDE w:val="0"/>
              <w:autoSpaceDN w:val="0"/>
              <w:adjustRightInd w:val="0"/>
              <w:spacing w:after="0" w:line="360" w:lineRule="auto"/>
              <w:jc w:val="center"/>
              <w:rPr>
                <w:rFonts w:ascii="Arial" w:eastAsiaTheme="minorEastAsia" w:hAnsi="Arial" w:cs="Arial"/>
                <w:b/>
                <w:bCs/>
                <w:color w:val="FFFFFF" w:themeColor="background1"/>
                <w:lang w:val="en-US"/>
              </w:rPr>
            </w:pPr>
          </w:p>
        </w:tc>
      </w:tr>
      <w:tr w:rsidR="00F909E4" w:rsidRPr="009C7DD1" w:rsidTr="001D0097">
        <w:trPr>
          <w:cantSplit/>
        </w:trPr>
        <w:tc>
          <w:tcPr>
            <w:tcW w:w="4320" w:type="dxa"/>
            <w:shd w:val="clear" w:color="auto" w:fill="FFFFFF"/>
            <w:tcMar>
              <w:left w:w="60" w:type="dxa"/>
              <w:right w:w="60" w:type="dxa"/>
            </w:tcMar>
            <w:vAlign w:val="center"/>
          </w:tcPr>
          <w:p w:rsidR="00F909E4" w:rsidRPr="00BA7A01" w:rsidRDefault="00F909E4" w:rsidP="00F909E4">
            <w:pPr>
              <w:autoSpaceDE w:val="0"/>
              <w:autoSpaceDN w:val="0"/>
              <w:adjustRightInd w:val="0"/>
              <w:spacing w:after="0" w:line="360" w:lineRule="auto"/>
              <w:rPr>
                <w:rFonts w:ascii="Arial" w:hAnsi="Arial" w:cs="Arial"/>
                <w:color w:val="000000"/>
                <w:lang w:val="en-US"/>
              </w:rPr>
            </w:pPr>
            <w:r w:rsidRPr="00BA7A01">
              <w:rPr>
                <w:rFonts w:ascii="Arial" w:hAnsi="Arial" w:cs="Arial"/>
                <w:color w:val="000000"/>
                <w:lang w:val="en-US"/>
              </w:rPr>
              <w:t>Patients with complete or partial response in full index period</w:t>
            </w:r>
          </w:p>
        </w:tc>
        <w:tc>
          <w:tcPr>
            <w:tcW w:w="1361" w:type="dxa"/>
            <w:shd w:val="clear" w:color="auto" w:fill="FFFFFF"/>
            <w:tcMar>
              <w:left w:w="60" w:type="dxa"/>
              <w:right w:w="60" w:type="dxa"/>
            </w:tcMar>
            <w:vAlign w:val="center"/>
          </w:tcPr>
          <w:p w:rsidR="00F909E4" w:rsidRPr="009C7DD1" w:rsidRDefault="00F909E4" w:rsidP="005B3336">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49</w:t>
            </w:r>
          </w:p>
        </w:tc>
        <w:tc>
          <w:tcPr>
            <w:tcW w:w="1361" w:type="dxa"/>
            <w:shd w:val="clear" w:color="auto" w:fill="FFFFFF"/>
            <w:vAlign w:val="center"/>
          </w:tcPr>
          <w:p w:rsidR="00F909E4" w:rsidRPr="009C7DD1" w:rsidRDefault="00F909E4" w:rsidP="005B3336">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18</w:t>
            </w:r>
          </w:p>
        </w:tc>
        <w:tc>
          <w:tcPr>
            <w:tcW w:w="1361" w:type="dxa"/>
            <w:shd w:val="clear" w:color="auto" w:fill="FFFFFF"/>
            <w:vAlign w:val="center"/>
          </w:tcPr>
          <w:p w:rsidR="00F909E4" w:rsidRPr="009C7DD1" w:rsidRDefault="00F909E4" w:rsidP="005B3336">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65</w:t>
            </w:r>
            <w:r w:rsidRPr="009C7DD1">
              <w:rPr>
                <w:rFonts w:ascii="Arial" w:eastAsiaTheme="minorEastAsia" w:hAnsi="Arial" w:cs="Arial"/>
                <w:color w:val="000000"/>
                <w:vertAlign w:val="superscript"/>
                <w:lang w:val="en-US"/>
              </w:rPr>
              <w:t>a</w:t>
            </w:r>
          </w:p>
        </w:tc>
        <w:tc>
          <w:tcPr>
            <w:tcW w:w="1361" w:type="dxa"/>
            <w:shd w:val="clear" w:color="auto" w:fill="FFFFFF"/>
            <w:vAlign w:val="center"/>
          </w:tcPr>
          <w:p w:rsidR="00F909E4" w:rsidRPr="009C7DD1" w:rsidRDefault="001F7221" w:rsidP="005B3336">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37</w:t>
            </w:r>
            <w:r w:rsidR="00F909E4" w:rsidRPr="009C7DD1">
              <w:rPr>
                <w:rFonts w:ascii="Arial" w:eastAsiaTheme="minorEastAsia" w:hAnsi="Arial" w:cs="Arial"/>
                <w:color w:val="000000"/>
                <w:vertAlign w:val="superscript"/>
                <w:lang w:val="en-US"/>
              </w:rPr>
              <w:t>a</w:t>
            </w:r>
          </w:p>
        </w:tc>
      </w:tr>
      <w:tr w:rsidR="002B6D85" w:rsidRPr="009C7DD1" w:rsidTr="009208FB">
        <w:trPr>
          <w:cantSplit/>
        </w:trPr>
        <w:tc>
          <w:tcPr>
            <w:tcW w:w="4320" w:type="dxa"/>
            <w:shd w:val="clear" w:color="auto" w:fill="FFFFFF"/>
            <w:tcMar>
              <w:left w:w="60" w:type="dxa"/>
              <w:right w:w="60" w:type="dxa"/>
            </w:tcMar>
            <w:vAlign w:val="center"/>
          </w:tcPr>
          <w:p w:rsidR="002B6D85" w:rsidRPr="009C7DD1" w:rsidRDefault="002B6D85" w:rsidP="001053C8">
            <w:pPr>
              <w:autoSpaceDE w:val="0"/>
              <w:autoSpaceDN w:val="0"/>
              <w:adjustRightInd w:val="0"/>
              <w:spacing w:after="0" w:line="360" w:lineRule="auto"/>
              <w:rPr>
                <w:rFonts w:ascii="Arial" w:hAnsi="Arial" w:cs="Arial"/>
                <w:b/>
                <w:bCs/>
                <w:color w:val="000000"/>
                <w:lang w:val="it-IT"/>
              </w:rPr>
            </w:pPr>
            <w:r w:rsidRPr="009C7DD1">
              <w:rPr>
                <w:rFonts w:ascii="Arial" w:hAnsi="Arial" w:cs="Arial"/>
                <w:b/>
                <w:bCs/>
                <w:color w:val="000000"/>
                <w:lang w:val="it-IT"/>
              </w:rPr>
              <w:t>DOR, months, median (95% CI)</w:t>
            </w:r>
          </w:p>
        </w:tc>
        <w:tc>
          <w:tcPr>
            <w:tcW w:w="1361" w:type="dxa"/>
            <w:shd w:val="clear" w:color="auto" w:fill="FFFFFF"/>
            <w:tcMar>
              <w:left w:w="60" w:type="dxa"/>
              <w:right w:w="60" w:type="dxa"/>
            </w:tcMar>
            <w:vAlign w:val="center"/>
          </w:tcPr>
          <w:p w:rsidR="002B6D85" w:rsidRPr="009C7DD1" w:rsidRDefault="002B6D85"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DengXian Light" w:hAnsi="Arial" w:cs="Arial"/>
                <w:bCs/>
                <w:lang w:val="en-US"/>
              </w:rPr>
              <w:t xml:space="preserve">9.4 </w:t>
            </w:r>
            <w:r w:rsidRPr="009C7DD1">
              <w:rPr>
                <w:rFonts w:ascii="Arial" w:eastAsia="DengXian Light" w:hAnsi="Arial" w:cs="Arial"/>
                <w:bCs/>
                <w:lang w:val="en-US"/>
              </w:rPr>
              <w:br/>
              <w:t>(6.2–12.2)</w:t>
            </w:r>
          </w:p>
        </w:tc>
        <w:tc>
          <w:tcPr>
            <w:tcW w:w="1361" w:type="dxa"/>
            <w:shd w:val="clear" w:color="auto" w:fill="FFFFFF"/>
            <w:vAlign w:val="center"/>
          </w:tcPr>
          <w:p w:rsidR="002B6D85" w:rsidRPr="009C7DD1" w:rsidRDefault="002B6D85"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10.6</w:t>
            </w:r>
            <w:r w:rsidRPr="009C7DD1">
              <w:rPr>
                <w:rFonts w:ascii="Arial" w:eastAsiaTheme="minorEastAsia" w:hAnsi="Arial" w:cs="Arial"/>
                <w:color w:val="000000"/>
                <w:lang w:val="en-US"/>
              </w:rPr>
              <w:br/>
              <w:t>(3.7–24.9)</w:t>
            </w:r>
          </w:p>
        </w:tc>
        <w:tc>
          <w:tcPr>
            <w:tcW w:w="1361" w:type="dxa"/>
            <w:shd w:val="clear" w:color="auto" w:fill="FFFFFF"/>
            <w:vAlign w:val="center"/>
          </w:tcPr>
          <w:p w:rsidR="002B6D85" w:rsidRPr="009C7DD1" w:rsidRDefault="00F909E4"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9.2</w:t>
            </w:r>
            <w:r w:rsidRPr="009C7DD1">
              <w:rPr>
                <w:rFonts w:ascii="Arial" w:eastAsiaTheme="minorEastAsia" w:hAnsi="Arial" w:cs="Arial"/>
                <w:color w:val="000000"/>
                <w:lang w:val="en-US"/>
              </w:rPr>
              <w:br/>
              <w:t>(5.0–12.2)</w:t>
            </w:r>
          </w:p>
        </w:tc>
        <w:tc>
          <w:tcPr>
            <w:tcW w:w="1361" w:type="dxa"/>
            <w:shd w:val="clear" w:color="auto" w:fill="FFFFFF"/>
            <w:vAlign w:val="center"/>
          </w:tcPr>
          <w:p w:rsidR="002B6D85" w:rsidRPr="009C7DD1" w:rsidRDefault="00F909E4"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10.6</w:t>
            </w:r>
            <w:r w:rsidRPr="009C7DD1">
              <w:rPr>
                <w:rFonts w:ascii="Arial" w:eastAsiaTheme="minorEastAsia" w:hAnsi="Arial" w:cs="Arial"/>
                <w:color w:val="000000"/>
                <w:lang w:val="en-US"/>
              </w:rPr>
              <w:br/>
              <w:t>(5.8–24.9)</w:t>
            </w:r>
          </w:p>
        </w:tc>
      </w:tr>
      <w:tr w:rsidR="00F909E4" w:rsidRPr="009C7DD1" w:rsidTr="00A9316E">
        <w:trPr>
          <w:cantSplit/>
        </w:trPr>
        <w:tc>
          <w:tcPr>
            <w:tcW w:w="4320" w:type="dxa"/>
            <w:shd w:val="clear" w:color="auto" w:fill="FFFFFF"/>
            <w:tcMar>
              <w:left w:w="60" w:type="dxa"/>
              <w:right w:w="60" w:type="dxa"/>
            </w:tcMar>
            <w:vAlign w:val="center"/>
          </w:tcPr>
          <w:p w:rsidR="00F909E4" w:rsidRPr="009C7DD1" w:rsidRDefault="00F909E4" w:rsidP="001053C8">
            <w:pPr>
              <w:autoSpaceDE w:val="0"/>
              <w:autoSpaceDN w:val="0"/>
              <w:adjustRightInd w:val="0"/>
              <w:spacing w:after="0" w:line="360" w:lineRule="auto"/>
              <w:ind w:left="234"/>
              <w:rPr>
                <w:rStyle w:val="CommentReference"/>
              </w:rPr>
            </w:pPr>
            <w:r w:rsidRPr="009C7DD1">
              <w:rPr>
                <w:rFonts w:ascii="Arial" w:hAnsi="Arial" w:cs="Arial"/>
                <w:color w:val="000000"/>
                <w:lang w:val="it-IT"/>
              </w:rPr>
              <w:t>Log-rank</w:t>
            </w:r>
            <w:r w:rsidRPr="009C7DD1">
              <w:rPr>
                <w:rFonts w:ascii="Arial" w:hAnsi="Arial" w:cs="Arial"/>
                <w:i/>
                <w:iCs/>
                <w:color w:val="000000"/>
                <w:lang w:val="it-IT"/>
              </w:rPr>
              <w:t xml:space="preserve"> p</w:t>
            </w:r>
            <w:r w:rsidRPr="009C7DD1">
              <w:rPr>
                <w:rFonts w:ascii="Arial" w:hAnsi="Arial" w:cs="Arial"/>
                <w:color w:val="000000"/>
                <w:lang w:val="it-IT"/>
              </w:rPr>
              <w:t xml:space="preserve"> value</w:t>
            </w:r>
          </w:p>
        </w:tc>
        <w:tc>
          <w:tcPr>
            <w:tcW w:w="2722" w:type="dxa"/>
            <w:gridSpan w:val="2"/>
            <w:shd w:val="clear" w:color="auto" w:fill="FFFFFF"/>
            <w:tcMar>
              <w:left w:w="60" w:type="dxa"/>
              <w:right w:w="60" w:type="dxa"/>
            </w:tcMar>
            <w:vAlign w:val="center"/>
          </w:tcPr>
          <w:p w:rsidR="00F909E4" w:rsidRPr="009C7DD1" w:rsidRDefault="00F909E4"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0.6904</w:t>
            </w:r>
          </w:p>
        </w:tc>
        <w:tc>
          <w:tcPr>
            <w:tcW w:w="2722" w:type="dxa"/>
            <w:gridSpan w:val="2"/>
            <w:shd w:val="clear" w:color="auto" w:fill="FFFFFF"/>
            <w:vAlign w:val="center"/>
          </w:tcPr>
          <w:p w:rsidR="00F909E4" w:rsidRPr="009C7DD1" w:rsidRDefault="00F909E4"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0.3900</w:t>
            </w:r>
          </w:p>
        </w:tc>
      </w:tr>
      <w:tr w:rsidR="00F909E4" w:rsidRPr="009C7DD1" w:rsidTr="00F909E4">
        <w:trPr>
          <w:cantSplit/>
        </w:trPr>
        <w:tc>
          <w:tcPr>
            <w:tcW w:w="4320" w:type="dxa"/>
            <w:shd w:val="clear" w:color="auto" w:fill="000000" w:themeFill="text1"/>
            <w:tcMar>
              <w:left w:w="60" w:type="dxa"/>
              <w:right w:w="60" w:type="dxa"/>
            </w:tcMar>
            <w:vAlign w:val="center"/>
          </w:tcPr>
          <w:p w:rsidR="00F909E4" w:rsidRPr="009C7DD1" w:rsidRDefault="00F909E4" w:rsidP="001053C8">
            <w:pPr>
              <w:autoSpaceDE w:val="0"/>
              <w:autoSpaceDN w:val="0"/>
              <w:adjustRightInd w:val="0"/>
              <w:spacing w:after="0" w:line="360" w:lineRule="auto"/>
              <w:rPr>
                <w:rFonts w:ascii="Arial" w:hAnsi="Arial" w:cs="Arial"/>
                <w:b/>
                <w:bCs/>
                <w:color w:val="FFFFFF" w:themeColor="background1"/>
                <w:lang w:val="it-IT"/>
              </w:rPr>
            </w:pPr>
            <w:r w:rsidRPr="009C7DD1">
              <w:rPr>
                <w:rFonts w:ascii="Arial" w:hAnsi="Arial" w:cs="Arial"/>
                <w:b/>
                <w:bCs/>
                <w:color w:val="FFFFFF" w:themeColor="background1"/>
                <w:lang w:val="it-IT"/>
              </w:rPr>
              <w:t>PFS</w:t>
            </w:r>
          </w:p>
        </w:tc>
        <w:tc>
          <w:tcPr>
            <w:tcW w:w="2722" w:type="dxa"/>
            <w:gridSpan w:val="2"/>
            <w:shd w:val="clear" w:color="auto" w:fill="000000" w:themeFill="text1"/>
            <w:tcMar>
              <w:left w:w="60" w:type="dxa"/>
              <w:right w:w="60" w:type="dxa"/>
            </w:tcMar>
            <w:vAlign w:val="center"/>
          </w:tcPr>
          <w:p w:rsidR="00F909E4" w:rsidRPr="009C7DD1" w:rsidRDefault="00F909E4" w:rsidP="00445002">
            <w:pPr>
              <w:autoSpaceDE w:val="0"/>
              <w:autoSpaceDN w:val="0"/>
              <w:adjustRightInd w:val="0"/>
              <w:spacing w:after="0" w:line="360" w:lineRule="auto"/>
              <w:jc w:val="center"/>
              <w:rPr>
                <w:rFonts w:ascii="Arial" w:eastAsiaTheme="minorEastAsia" w:hAnsi="Arial" w:cs="Arial"/>
                <w:color w:val="FFFFFF" w:themeColor="background1"/>
                <w:lang w:val="en-US"/>
              </w:rPr>
            </w:pPr>
          </w:p>
        </w:tc>
        <w:tc>
          <w:tcPr>
            <w:tcW w:w="2722" w:type="dxa"/>
            <w:gridSpan w:val="2"/>
            <w:shd w:val="clear" w:color="auto" w:fill="000000" w:themeFill="text1"/>
            <w:vAlign w:val="center"/>
          </w:tcPr>
          <w:p w:rsidR="00F909E4" w:rsidRPr="009C7DD1" w:rsidRDefault="00F909E4" w:rsidP="00445002">
            <w:pPr>
              <w:autoSpaceDE w:val="0"/>
              <w:autoSpaceDN w:val="0"/>
              <w:adjustRightInd w:val="0"/>
              <w:spacing w:after="0" w:line="360" w:lineRule="auto"/>
              <w:jc w:val="center"/>
              <w:rPr>
                <w:rFonts w:ascii="Arial" w:eastAsiaTheme="minorEastAsia" w:hAnsi="Arial" w:cs="Arial"/>
                <w:color w:val="FFFFFF" w:themeColor="background1"/>
                <w:lang w:val="en-US"/>
              </w:rPr>
            </w:pPr>
          </w:p>
        </w:tc>
      </w:tr>
      <w:tr w:rsidR="00D32E81" w:rsidRPr="009C7DD1" w:rsidTr="008B7E13">
        <w:trPr>
          <w:cantSplit/>
        </w:trPr>
        <w:tc>
          <w:tcPr>
            <w:tcW w:w="4320" w:type="dxa"/>
            <w:shd w:val="clear" w:color="auto" w:fill="FFFFFF"/>
            <w:tcMar>
              <w:left w:w="60" w:type="dxa"/>
              <w:right w:w="60" w:type="dxa"/>
            </w:tcMar>
            <w:vAlign w:val="center"/>
          </w:tcPr>
          <w:p w:rsidR="00D32E81" w:rsidRPr="009C7DD1" w:rsidRDefault="00D32E81" w:rsidP="001053C8">
            <w:pPr>
              <w:autoSpaceDE w:val="0"/>
              <w:autoSpaceDN w:val="0"/>
              <w:adjustRightInd w:val="0"/>
              <w:spacing w:after="0" w:line="360" w:lineRule="auto"/>
              <w:rPr>
                <w:rStyle w:val="CommentReference"/>
              </w:rPr>
            </w:pPr>
            <w:r w:rsidRPr="009C7DD1">
              <w:rPr>
                <w:rFonts w:ascii="Arial" w:hAnsi="Arial" w:cs="Arial"/>
                <w:color w:val="000000"/>
                <w:lang w:val="it-IT"/>
              </w:rPr>
              <w:t>n</w:t>
            </w:r>
          </w:p>
        </w:tc>
        <w:tc>
          <w:tcPr>
            <w:tcW w:w="1361" w:type="dxa"/>
            <w:shd w:val="clear" w:color="auto" w:fill="FFFFFF"/>
            <w:tcMar>
              <w:left w:w="60" w:type="dxa"/>
              <w:right w:w="60" w:type="dxa"/>
            </w:tcMar>
            <w:vAlign w:val="center"/>
          </w:tcPr>
          <w:p w:rsidR="00D32E81"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107</w:t>
            </w:r>
          </w:p>
        </w:tc>
        <w:tc>
          <w:tcPr>
            <w:tcW w:w="1361" w:type="dxa"/>
            <w:shd w:val="clear" w:color="auto" w:fill="FFFFFF"/>
            <w:vAlign w:val="center"/>
          </w:tcPr>
          <w:p w:rsidR="00D32E81"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56</w:t>
            </w:r>
          </w:p>
        </w:tc>
        <w:tc>
          <w:tcPr>
            <w:tcW w:w="1361" w:type="dxa"/>
            <w:shd w:val="clear" w:color="auto" w:fill="FFFFFF"/>
            <w:vAlign w:val="center"/>
          </w:tcPr>
          <w:p w:rsidR="00D32E81"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148</w:t>
            </w:r>
            <w:r w:rsidRPr="009C7DD1">
              <w:rPr>
                <w:rFonts w:ascii="Arial" w:eastAsiaTheme="minorEastAsia" w:hAnsi="Arial" w:cs="Arial"/>
                <w:color w:val="000000"/>
                <w:vertAlign w:val="superscript"/>
                <w:lang w:val="en-US"/>
              </w:rPr>
              <w:t>a</w:t>
            </w:r>
          </w:p>
        </w:tc>
        <w:tc>
          <w:tcPr>
            <w:tcW w:w="1361" w:type="dxa"/>
            <w:shd w:val="clear" w:color="auto" w:fill="FFFFFF"/>
            <w:vAlign w:val="center"/>
          </w:tcPr>
          <w:p w:rsidR="00D32E81"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119</w:t>
            </w:r>
            <w:r w:rsidRPr="009C7DD1">
              <w:rPr>
                <w:rFonts w:ascii="Arial" w:eastAsiaTheme="minorEastAsia" w:hAnsi="Arial" w:cs="Arial"/>
                <w:color w:val="000000"/>
                <w:vertAlign w:val="superscript"/>
                <w:lang w:val="en-US"/>
              </w:rPr>
              <w:t>a</w:t>
            </w:r>
          </w:p>
        </w:tc>
      </w:tr>
      <w:tr w:rsidR="00F909E4" w:rsidRPr="009C7DD1" w:rsidTr="008B7E13">
        <w:trPr>
          <w:cantSplit/>
        </w:trPr>
        <w:tc>
          <w:tcPr>
            <w:tcW w:w="4320" w:type="dxa"/>
            <w:shd w:val="clear" w:color="auto" w:fill="FFFFFF"/>
            <w:tcMar>
              <w:left w:w="60" w:type="dxa"/>
              <w:right w:w="60" w:type="dxa"/>
            </w:tcMar>
            <w:vAlign w:val="center"/>
          </w:tcPr>
          <w:p w:rsidR="00F909E4" w:rsidRPr="009C7DD1" w:rsidRDefault="00F909E4" w:rsidP="001053C8">
            <w:pPr>
              <w:autoSpaceDE w:val="0"/>
              <w:autoSpaceDN w:val="0"/>
              <w:adjustRightInd w:val="0"/>
              <w:spacing w:after="0" w:line="360" w:lineRule="auto"/>
              <w:rPr>
                <w:rFonts w:ascii="Arial" w:hAnsi="Arial" w:cs="Arial"/>
                <w:b/>
                <w:bCs/>
                <w:color w:val="000000"/>
                <w:lang w:val="it-IT"/>
              </w:rPr>
            </w:pPr>
            <w:r w:rsidRPr="009C7DD1">
              <w:rPr>
                <w:rFonts w:ascii="Arial" w:hAnsi="Arial" w:cs="Arial"/>
                <w:b/>
                <w:bCs/>
                <w:color w:val="000000"/>
                <w:lang w:val="it-IT"/>
              </w:rPr>
              <w:t>PFS, months, median (95% CI)</w:t>
            </w:r>
          </w:p>
        </w:tc>
        <w:tc>
          <w:tcPr>
            <w:tcW w:w="1361" w:type="dxa"/>
            <w:shd w:val="clear" w:color="auto" w:fill="FFFFFF"/>
            <w:tcMar>
              <w:left w:w="60" w:type="dxa"/>
              <w:right w:w="60" w:type="dxa"/>
            </w:tcMar>
            <w:vAlign w:val="center"/>
          </w:tcPr>
          <w:p w:rsidR="00F909E4"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9.6</w:t>
            </w:r>
            <w:r w:rsidRPr="009C7DD1">
              <w:rPr>
                <w:rFonts w:ascii="Arial" w:eastAsiaTheme="minorEastAsia" w:hAnsi="Arial" w:cs="Arial"/>
                <w:color w:val="000000"/>
                <w:lang w:val="en-US"/>
              </w:rPr>
              <w:br/>
              <w:t>(6.5–12.0)</w:t>
            </w:r>
          </w:p>
        </w:tc>
        <w:tc>
          <w:tcPr>
            <w:tcW w:w="1361" w:type="dxa"/>
            <w:shd w:val="clear" w:color="auto" w:fill="FFFFFF"/>
            <w:vAlign w:val="center"/>
          </w:tcPr>
          <w:p w:rsidR="00F909E4"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8.2</w:t>
            </w:r>
            <w:r w:rsidRPr="009C7DD1">
              <w:rPr>
                <w:rFonts w:ascii="Arial" w:eastAsiaTheme="minorEastAsia" w:hAnsi="Arial" w:cs="Arial"/>
                <w:color w:val="000000"/>
                <w:lang w:val="en-US"/>
              </w:rPr>
              <w:br/>
              <w:t>(6.2–21.9)</w:t>
            </w:r>
          </w:p>
        </w:tc>
        <w:tc>
          <w:tcPr>
            <w:tcW w:w="1361" w:type="dxa"/>
            <w:shd w:val="clear" w:color="auto" w:fill="FFFFFF"/>
            <w:vAlign w:val="center"/>
          </w:tcPr>
          <w:p w:rsidR="00F909E4"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9.6</w:t>
            </w:r>
            <w:r w:rsidRPr="009C7DD1">
              <w:rPr>
                <w:rFonts w:ascii="Arial" w:eastAsiaTheme="minorEastAsia" w:hAnsi="Arial" w:cs="Arial"/>
                <w:color w:val="000000"/>
                <w:lang w:val="en-US"/>
              </w:rPr>
              <w:br/>
              <w:t>(6.5–12.0)</w:t>
            </w:r>
          </w:p>
        </w:tc>
        <w:tc>
          <w:tcPr>
            <w:tcW w:w="1361" w:type="dxa"/>
            <w:shd w:val="clear" w:color="auto" w:fill="FFFFFF"/>
            <w:vAlign w:val="center"/>
          </w:tcPr>
          <w:p w:rsidR="00F909E4"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8.2</w:t>
            </w:r>
            <w:r w:rsidRPr="009C7DD1">
              <w:rPr>
                <w:rFonts w:ascii="Arial" w:eastAsiaTheme="minorEastAsia" w:hAnsi="Arial" w:cs="Arial"/>
                <w:color w:val="000000"/>
                <w:lang w:val="en-US"/>
              </w:rPr>
              <w:br/>
              <w:t>(6.2–32.0)</w:t>
            </w:r>
          </w:p>
        </w:tc>
      </w:tr>
      <w:tr w:rsidR="00F909E4" w:rsidRPr="009C7DD1" w:rsidTr="00A9316E">
        <w:trPr>
          <w:cantSplit/>
        </w:trPr>
        <w:tc>
          <w:tcPr>
            <w:tcW w:w="4320" w:type="dxa"/>
            <w:shd w:val="clear" w:color="auto" w:fill="FFFFFF"/>
            <w:tcMar>
              <w:left w:w="60" w:type="dxa"/>
              <w:right w:w="60" w:type="dxa"/>
            </w:tcMar>
            <w:vAlign w:val="center"/>
          </w:tcPr>
          <w:p w:rsidR="00F909E4" w:rsidRPr="009C7DD1" w:rsidRDefault="00F909E4" w:rsidP="00F909E4">
            <w:pPr>
              <w:autoSpaceDE w:val="0"/>
              <w:autoSpaceDN w:val="0"/>
              <w:adjustRightInd w:val="0"/>
              <w:spacing w:after="0" w:line="360" w:lineRule="auto"/>
              <w:ind w:left="234"/>
              <w:rPr>
                <w:rFonts w:ascii="Arial" w:hAnsi="Arial" w:cs="Arial"/>
                <w:color w:val="000000"/>
                <w:lang w:val="it-IT"/>
              </w:rPr>
            </w:pPr>
            <w:r w:rsidRPr="009C7DD1">
              <w:rPr>
                <w:rFonts w:ascii="Arial" w:hAnsi="Arial" w:cs="Arial"/>
                <w:color w:val="000000"/>
                <w:lang w:val="it-IT"/>
              </w:rPr>
              <w:t>Log-rank</w:t>
            </w:r>
            <w:r w:rsidRPr="009C7DD1">
              <w:rPr>
                <w:rFonts w:ascii="Arial" w:hAnsi="Arial" w:cs="Arial"/>
                <w:i/>
                <w:iCs/>
                <w:color w:val="000000"/>
                <w:lang w:val="it-IT"/>
              </w:rPr>
              <w:t xml:space="preserve"> p</w:t>
            </w:r>
            <w:r w:rsidRPr="009C7DD1">
              <w:rPr>
                <w:rFonts w:ascii="Arial" w:hAnsi="Arial" w:cs="Arial"/>
                <w:color w:val="000000"/>
                <w:lang w:val="it-IT"/>
              </w:rPr>
              <w:t xml:space="preserve"> value</w:t>
            </w:r>
          </w:p>
        </w:tc>
        <w:tc>
          <w:tcPr>
            <w:tcW w:w="2722" w:type="dxa"/>
            <w:gridSpan w:val="2"/>
            <w:shd w:val="clear" w:color="auto" w:fill="FFFFFF"/>
            <w:tcMar>
              <w:left w:w="60" w:type="dxa"/>
              <w:right w:w="60" w:type="dxa"/>
            </w:tcMar>
            <w:vAlign w:val="center"/>
          </w:tcPr>
          <w:p w:rsidR="00F909E4"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0.5855</w:t>
            </w:r>
          </w:p>
        </w:tc>
        <w:tc>
          <w:tcPr>
            <w:tcW w:w="2722" w:type="dxa"/>
            <w:gridSpan w:val="2"/>
            <w:shd w:val="clear" w:color="auto" w:fill="FFFFFF"/>
            <w:vAlign w:val="center"/>
          </w:tcPr>
          <w:p w:rsidR="00F909E4" w:rsidRPr="009C7DD1" w:rsidRDefault="00D32E81" w:rsidP="00445002">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0.3407</w:t>
            </w:r>
          </w:p>
        </w:tc>
      </w:tr>
      <w:tr w:rsidR="00F909E4" w:rsidRPr="009C7DD1" w:rsidTr="00D32E81">
        <w:trPr>
          <w:cantSplit/>
        </w:trPr>
        <w:tc>
          <w:tcPr>
            <w:tcW w:w="4320" w:type="dxa"/>
            <w:shd w:val="clear" w:color="auto" w:fill="000000" w:themeFill="text1"/>
            <w:tcMar>
              <w:left w:w="60" w:type="dxa"/>
              <w:right w:w="60" w:type="dxa"/>
            </w:tcMar>
            <w:vAlign w:val="center"/>
          </w:tcPr>
          <w:p w:rsidR="00F909E4" w:rsidRPr="009C7DD1" w:rsidRDefault="00D32E81" w:rsidP="00D32E81">
            <w:pPr>
              <w:autoSpaceDE w:val="0"/>
              <w:autoSpaceDN w:val="0"/>
              <w:adjustRightInd w:val="0"/>
              <w:spacing w:after="0" w:line="360" w:lineRule="auto"/>
              <w:rPr>
                <w:rFonts w:ascii="Arial" w:hAnsi="Arial" w:cs="Arial"/>
                <w:b/>
                <w:bCs/>
                <w:color w:val="FFFFFF" w:themeColor="background1"/>
                <w:lang w:val="it-IT"/>
              </w:rPr>
            </w:pPr>
            <w:r w:rsidRPr="009C7DD1">
              <w:rPr>
                <w:rFonts w:ascii="Arial" w:hAnsi="Arial" w:cs="Arial"/>
                <w:b/>
                <w:bCs/>
                <w:color w:val="FFFFFF" w:themeColor="background1"/>
                <w:lang w:val="it-IT"/>
              </w:rPr>
              <w:t>OS</w:t>
            </w:r>
          </w:p>
        </w:tc>
        <w:tc>
          <w:tcPr>
            <w:tcW w:w="2722" w:type="dxa"/>
            <w:gridSpan w:val="2"/>
            <w:shd w:val="clear" w:color="auto" w:fill="000000" w:themeFill="text1"/>
            <w:tcMar>
              <w:left w:w="60" w:type="dxa"/>
              <w:right w:w="60" w:type="dxa"/>
            </w:tcMar>
            <w:vAlign w:val="center"/>
          </w:tcPr>
          <w:p w:rsidR="00F909E4" w:rsidRPr="009C7DD1" w:rsidRDefault="00F909E4" w:rsidP="00445002">
            <w:pPr>
              <w:autoSpaceDE w:val="0"/>
              <w:autoSpaceDN w:val="0"/>
              <w:adjustRightInd w:val="0"/>
              <w:spacing w:after="0" w:line="360" w:lineRule="auto"/>
              <w:jc w:val="center"/>
              <w:rPr>
                <w:rFonts w:ascii="Arial" w:eastAsiaTheme="minorEastAsia" w:hAnsi="Arial" w:cs="Arial"/>
                <w:color w:val="FFFFFF" w:themeColor="background1"/>
                <w:lang w:val="en-US"/>
              </w:rPr>
            </w:pPr>
          </w:p>
        </w:tc>
        <w:tc>
          <w:tcPr>
            <w:tcW w:w="2722" w:type="dxa"/>
            <w:gridSpan w:val="2"/>
            <w:shd w:val="clear" w:color="auto" w:fill="000000" w:themeFill="text1"/>
            <w:vAlign w:val="center"/>
          </w:tcPr>
          <w:p w:rsidR="00F909E4" w:rsidRPr="009C7DD1" w:rsidRDefault="00F909E4" w:rsidP="00445002">
            <w:pPr>
              <w:autoSpaceDE w:val="0"/>
              <w:autoSpaceDN w:val="0"/>
              <w:adjustRightInd w:val="0"/>
              <w:spacing w:after="0" w:line="360" w:lineRule="auto"/>
              <w:jc w:val="center"/>
              <w:rPr>
                <w:rFonts w:ascii="Arial" w:eastAsiaTheme="minorEastAsia" w:hAnsi="Arial" w:cs="Arial"/>
                <w:color w:val="FFFFFF" w:themeColor="background1"/>
                <w:lang w:val="en-US"/>
              </w:rPr>
            </w:pPr>
          </w:p>
        </w:tc>
      </w:tr>
      <w:tr w:rsidR="00D32E81" w:rsidRPr="009C7DD1" w:rsidTr="005B3E0F">
        <w:trPr>
          <w:cantSplit/>
        </w:trPr>
        <w:tc>
          <w:tcPr>
            <w:tcW w:w="4320" w:type="dxa"/>
            <w:shd w:val="clear" w:color="auto" w:fill="FFFFFF"/>
            <w:tcMar>
              <w:left w:w="60" w:type="dxa"/>
              <w:right w:w="60" w:type="dxa"/>
            </w:tcMar>
            <w:vAlign w:val="center"/>
          </w:tcPr>
          <w:p w:rsidR="00D32E81" w:rsidRPr="009C7DD1" w:rsidRDefault="00D32E81" w:rsidP="00D32E81">
            <w:pPr>
              <w:autoSpaceDE w:val="0"/>
              <w:autoSpaceDN w:val="0"/>
              <w:adjustRightInd w:val="0"/>
              <w:spacing w:after="0" w:line="360" w:lineRule="auto"/>
              <w:rPr>
                <w:rFonts w:ascii="Arial" w:hAnsi="Arial" w:cs="Arial"/>
                <w:color w:val="000000"/>
                <w:lang w:val="it-IT"/>
              </w:rPr>
            </w:pPr>
            <w:r w:rsidRPr="009C7DD1">
              <w:rPr>
                <w:rFonts w:ascii="Arial" w:hAnsi="Arial" w:cs="Arial"/>
                <w:color w:val="000000"/>
                <w:lang w:val="it-IT"/>
              </w:rPr>
              <w:t>n</w:t>
            </w:r>
          </w:p>
        </w:tc>
        <w:tc>
          <w:tcPr>
            <w:tcW w:w="1361" w:type="dxa"/>
            <w:shd w:val="clear" w:color="auto" w:fill="FFFFFF"/>
            <w:tcMar>
              <w:left w:w="60" w:type="dxa"/>
              <w:right w:w="60" w:type="dxa"/>
            </w:tcMar>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107</w:t>
            </w:r>
          </w:p>
        </w:tc>
        <w:tc>
          <w:tcPr>
            <w:tcW w:w="1361" w:type="dxa"/>
            <w:shd w:val="clear" w:color="auto" w:fill="FFFFFF"/>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56</w:t>
            </w:r>
          </w:p>
        </w:tc>
        <w:tc>
          <w:tcPr>
            <w:tcW w:w="1361" w:type="dxa"/>
            <w:shd w:val="clear" w:color="auto" w:fill="FFFFFF"/>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148</w:t>
            </w:r>
            <w:r w:rsidRPr="009C7DD1">
              <w:rPr>
                <w:rFonts w:ascii="Arial" w:eastAsiaTheme="minorEastAsia" w:hAnsi="Arial" w:cs="Arial"/>
                <w:color w:val="000000"/>
                <w:vertAlign w:val="superscript"/>
                <w:lang w:val="en-US"/>
              </w:rPr>
              <w:t>a</w:t>
            </w:r>
          </w:p>
        </w:tc>
        <w:tc>
          <w:tcPr>
            <w:tcW w:w="1361" w:type="dxa"/>
            <w:shd w:val="clear" w:color="auto" w:fill="FFFFFF"/>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119</w:t>
            </w:r>
            <w:r w:rsidRPr="009C7DD1">
              <w:rPr>
                <w:rFonts w:ascii="Arial" w:eastAsiaTheme="minorEastAsia" w:hAnsi="Arial" w:cs="Arial"/>
                <w:color w:val="000000"/>
                <w:vertAlign w:val="superscript"/>
                <w:lang w:val="en-US"/>
              </w:rPr>
              <w:t>a</w:t>
            </w:r>
          </w:p>
        </w:tc>
      </w:tr>
      <w:tr w:rsidR="00D32E81" w:rsidRPr="009C7DD1" w:rsidTr="005B3E0F">
        <w:trPr>
          <w:cantSplit/>
        </w:trPr>
        <w:tc>
          <w:tcPr>
            <w:tcW w:w="4320" w:type="dxa"/>
            <w:shd w:val="clear" w:color="auto" w:fill="FFFFFF"/>
            <w:tcMar>
              <w:left w:w="60" w:type="dxa"/>
              <w:right w:w="60" w:type="dxa"/>
            </w:tcMar>
            <w:vAlign w:val="center"/>
          </w:tcPr>
          <w:p w:rsidR="00D32E81" w:rsidRPr="009C7DD1" w:rsidRDefault="00D32E81" w:rsidP="00D32E81">
            <w:pPr>
              <w:autoSpaceDE w:val="0"/>
              <w:autoSpaceDN w:val="0"/>
              <w:adjustRightInd w:val="0"/>
              <w:spacing w:after="0" w:line="360" w:lineRule="auto"/>
              <w:rPr>
                <w:rFonts w:ascii="Arial" w:hAnsi="Arial" w:cs="Arial"/>
                <w:color w:val="000000"/>
                <w:lang w:val="it-IT"/>
              </w:rPr>
            </w:pPr>
            <w:r w:rsidRPr="009C7DD1">
              <w:rPr>
                <w:rFonts w:ascii="Arial" w:hAnsi="Arial" w:cs="Arial"/>
                <w:b/>
                <w:bCs/>
                <w:color w:val="000000"/>
                <w:lang w:val="it-IT"/>
              </w:rPr>
              <w:t>OS, months, median (95% CI)</w:t>
            </w:r>
          </w:p>
        </w:tc>
        <w:tc>
          <w:tcPr>
            <w:tcW w:w="1361" w:type="dxa"/>
            <w:shd w:val="clear" w:color="auto" w:fill="FFFFFF"/>
            <w:tcMar>
              <w:left w:w="60" w:type="dxa"/>
              <w:right w:w="60" w:type="dxa"/>
            </w:tcMar>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19.7</w:t>
            </w:r>
            <w:r w:rsidRPr="009C7DD1">
              <w:rPr>
                <w:rFonts w:ascii="Arial" w:eastAsiaTheme="minorEastAsia" w:hAnsi="Arial" w:cs="Arial"/>
                <w:color w:val="000000"/>
                <w:lang w:val="en-US"/>
              </w:rPr>
              <w:br/>
              <w:t>(16.4–35.0)</w:t>
            </w:r>
          </w:p>
        </w:tc>
        <w:tc>
          <w:tcPr>
            <w:tcW w:w="1361" w:type="dxa"/>
            <w:shd w:val="clear" w:color="auto" w:fill="FFFFFF"/>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16.7</w:t>
            </w:r>
            <w:r w:rsidRPr="009C7DD1">
              <w:rPr>
                <w:rFonts w:ascii="Arial" w:eastAsiaTheme="minorEastAsia" w:hAnsi="Arial" w:cs="Arial"/>
                <w:color w:val="000000"/>
                <w:lang w:val="en-US"/>
              </w:rPr>
              <w:br/>
              <w:t>(10.0–28.6)</w:t>
            </w:r>
          </w:p>
        </w:tc>
        <w:tc>
          <w:tcPr>
            <w:tcW w:w="1361" w:type="dxa"/>
            <w:shd w:val="clear" w:color="auto" w:fill="FFFFFF"/>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19.4</w:t>
            </w:r>
            <w:r w:rsidRPr="009C7DD1">
              <w:rPr>
                <w:rFonts w:ascii="Arial" w:eastAsiaTheme="minorEastAsia" w:hAnsi="Arial" w:cs="Arial"/>
                <w:color w:val="000000"/>
                <w:lang w:val="en-US"/>
              </w:rPr>
              <w:br/>
              <w:t>(15.8–26.3)</w:t>
            </w:r>
          </w:p>
        </w:tc>
        <w:tc>
          <w:tcPr>
            <w:tcW w:w="1361" w:type="dxa"/>
            <w:shd w:val="clear" w:color="auto" w:fill="FFFFFF"/>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16.3</w:t>
            </w:r>
            <w:r w:rsidRPr="009C7DD1">
              <w:rPr>
                <w:rFonts w:ascii="Arial" w:eastAsiaTheme="minorEastAsia" w:hAnsi="Arial" w:cs="Arial"/>
                <w:color w:val="000000"/>
                <w:lang w:val="en-US"/>
              </w:rPr>
              <w:br/>
              <w:t>(9.9–28.6)</w:t>
            </w:r>
          </w:p>
        </w:tc>
      </w:tr>
      <w:tr w:rsidR="00D32E81" w:rsidRPr="009C7DD1" w:rsidTr="00A9316E">
        <w:trPr>
          <w:cantSplit/>
        </w:trPr>
        <w:tc>
          <w:tcPr>
            <w:tcW w:w="4320" w:type="dxa"/>
            <w:shd w:val="clear" w:color="auto" w:fill="FFFFFF"/>
            <w:tcMar>
              <w:left w:w="60" w:type="dxa"/>
              <w:right w:w="60" w:type="dxa"/>
            </w:tcMar>
            <w:vAlign w:val="center"/>
          </w:tcPr>
          <w:p w:rsidR="00D32E81" w:rsidRPr="009C7DD1" w:rsidRDefault="00D32E81" w:rsidP="00D32E81">
            <w:pPr>
              <w:autoSpaceDE w:val="0"/>
              <w:autoSpaceDN w:val="0"/>
              <w:adjustRightInd w:val="0"/>
              <w:spacing w:after="0" w:line="360" w:lineRule="auto"/>
              <w:ind w:left="234"/>
              <w:rPr>
                <w:rFonts w:ascii="Arial" w:hAnsi="Arial" w:cs="Arial"/>
                <w:color w:val="000000"/>
                <w:lang w:val="it-IT"/>
              </w:rPr>
            </w:pPr>
            <w:r w:rsidRPr="009C7DD1">
              <w:rPr>
                <w:rFonts w:ascii="Arial" w:hAnsi="Arial" w:cs="Arial"/>
                <w:color w:val="000000"/>
                <w:lang w:val="it-IT"/>
              </w:rPr>
              <w:lastRenderedPageBreak/>
              <w:t>Log-rank</w:t>
            </w:r>
            <w:r w:rsidRPr="009C7DD1">
              <w:rPr>
                <w:rFonts w:ascii="Arial" w:hAnsi="Arial" w:cs="Arial"/>
                <w:i/>
                <w:iCs/>
                <w:color w:val="000000"/>
                <w:lang w:val="it-IT"/>
              </w:rPr>
              <w:t xml:space="preserve"> p</w:t>
            </w:r>
            <w:r w:rsidRPr="009C7DD1">
              <w:rPr>
                <w:rFonts w:ascii="Arial" w:hAnsi="Arial" w:cs="Arial"/>
                <w:color w:val="000000"/>
                <w:lang w:val="it-IT"/>
              </w:rPr>
              <w:t xml:space="preserve"> value</w:t>
            </w:r>
          </w:p>
        </w:tc>
        <w:tc>
          <w:tcPr>
            <w:tcW w:w="2722" w:type="dxa"/>
            <w:gridSpan w:val="2"/>
            <w:shd w:val="clear" w:color="auto" w:fill="FFFFFF"/>
            <w:tcMar>
              <w:left w:w="60" w:type="dxa"/>
              <w:right w:w="60" w:type="dxa"/>
            </w:tcMar>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0.3503</w:t>
            </w:r>
          </w:p>
        </w:tc>
        <w:tc>
          <w:tcPr>
            <w:tcW w:w="2722" w:type="dxa"/>
            <w:gridSpan w:val="2"/>
            <w:shd w:val="clear" w:color="auto" w:fill="FFFFFF"/>
            <w:vAlign w:val="center"/>
          </w:tcPr>
          <w:p w:rsidR="00D32E81" w:rsidRPr="009C7DD1" w:rsidRDefault="00D32E81" w:rsidP="00D32E81">
            <w:pPr>
              <w:autoSpaceDE w:val="0"/>
              <w:autoSpaceDN w:val="0"/>
              <w:adjustRightInd w:val="0"/>
              <w:spacing w:after="0" w:line="360" w:lineRule="auto"/>
              <w:jc w:val="center"/>
              <w:rPr>
                <w:rFonts w:ascii="Arial" w:eastAsiaTheme="minorEastAsia" w:hAnsi="Arial" w:cs="Arial"/>
                <w:color w:val="000000"/>
                <w:lang w:val="en-US"/>
              </w:rPr>
            </w:pPr>
            <w:r w:rsidRPr="009C7DD1">
              <w:rPr>
                <w:rFonts w:ascii="Arial" w:eastAsiaTheme="minorEastAsia" w:hAnsi="Arial" w:cs="Arial"/>
                <w:color w:val="000000"/>
                <w:lang w:val="en-US"/>
              </w:rPr>
              <w:t>0.5065</w:t>
            </w:r>
          </w:p>
        </w:tc>
      </w:tr>
    </w:tbl>
    <w:p w:rsidR="002A35BF" w:rsidRPr="009C7DD1" w:rsidRDefault="002A35BF" w:rsidP="00405002">
      <w:pPr>
        <w:spacing w:afterLines="60" w:line="360" w:lineRule="auto"/>
        <w:rPr>
          <w:rFonts w:ascii="Arial" w:hAnsi="Arial" w:cs="Arial"/>
          <w:sz w:val="18"/>
          <w:szCs w:val="18"/>
          <w:lang w:val="en-US"/>
        </w:rPr>
      </w:pPr>
      <w:proofErr w:type="spellStart"/>
      <w:r w:rsidRPr="009C7DD1">
        <w:rPr>
          <w:rFonts w:ascii="Arial" w:hAnsi="Arial" w:cs="Arial"/>
          <w:sz w:val="18"/>
          <w:szCs w:val="18"/>
          <w:vertAlign w:val="superscript"/>
          <w:lang w:val="en-US"/>
        </w:rPr>
        <w:t>a</w:t>
      </w:r>
      <w:r w:rsidRPr="009C7DD1">
        <w:rPr>
          <w:rFonts w:ascii="Arial" w:hAnsi="Arial" w:cs="Arial"/>
          <w:sz w:val="18"/>
          <w:szCs w:val="18"/>
          <w:lang w:val="en-US"/>
        </w:rPr>
        <w:t>Counts</w:t>
      </w:r>
      <w:proofErr w:type="spellEnd"/>
      <w:r w:rsidRPr="009C7DD1">
        <w:rPr>
          <w:rFonts w:ascii="Arial" w:hAnsi="Arial" w:cs="Arial"/>
          <w:sz w:val="18"/>
          <w:szCs w:val="18"/>
          <w:lang w:val="en-US"/>
        </w:rPr>
        <w:t xml:space="preserve"> were weighted by IPTW;</w:t>
      </w:r>
      <w:r w:rsidRPr="009C7DD1">
        <w:rPr>
          <w:rFonts w:ascii="Arial" w:hAnsi="Arial" w:cs="Arial"/>
          <w:sz w:val="18"/>
          <w:szCs w:val="18"/>
          <w:vertAlign w:val="superscript"/>
          <w:lang w:val="en-US"/>
        </w:rPr>
        <w:t xml:space="preserve"> </w:t>
      </w:r>
      <w:proofErr w:type="spellStart"/>
      <w:r w:rsidRPr="009C7DD1">
        <w:rPr>
          <w:rFonts w:ascii="Arial" w:hAnsi="Arial" w:cs="Arial"/>
          <w:sz w:val="18"/>
          <w:szCs w:val="18"/>
          <w:vertAlign w:val="superscript"/>
          <w:lang w:val="en-US"/>
        </w:rPr>
        <w:t>b</w:t>
      </w:r>
      <w:r w:rsidRPr="009C7DD1">
        <w:rPr>
          <w:rFonts w:ascii="Arial" w:hAnsi="Arial" w:cs="Arial"/>
          <w:sz w:val="18"/>
          <w:szCs w:val="18"/>
          <w:lang w:val="en-US"/>
        </w:rPr>
        <w:t>Proportion</w:t>
      </w:r>
      <w:proofErr w:type="spellEnd"/>
      <w:r w:rsidRPr="009C7DD1">
        <w:rPr>
          <w:rFonts w:ascii="Arial" w:hAnsi="Arial" w:cs="Arial"/>
          <w:sz w:val="18"/>
          <w:szCs w:val="18"/>
          <w:lang w:val="en-US"/>
        </w:rPr>
        <w:t xml:space="preserve"> of the final study population with at least one complete or partial response; </w:t>
      </w:r>
      <w:proofErr w:type="spellStart"/>
      <w:r w:rsidRPr="009C7DD1">
        <w:rPr>
          <w:rFonts w:ascii="Arial" w:hAnsi="Arial" w:cs="Arial"/>
          <w:sz w:val="18"/>
          <w:szCs w:val="18"/>
          <w:vertAlign w:val="superscript"/>
          <w:lang w:val="en-US"/>
        </w:rPr>
        <w:t>c</w:t>
      </w:r>
      <w:r w:rsidR="00BC2935" w:rsidRPr="009C7DD1">
        <w:rPr>
          <w:rFonts w:ascii="Arial" w:hAnsi="Arial" w:cs="Arial"/>
          <w:sz w:val="18"/>
          <w:szCs w:val="18"/>
          <w:lang w:val="en-US"/>
        </w:rPr>
        <w:t>When</w:t>
      </w:r>
      <w:proofErr w:type="spellEnd"/>
      <w:r w:rsidR="00BC2935" w:rsidRPr="009C7DD1">
        <w:rPr>
          <w:rFonts w:ascii="Arial" w:hAnsi="Arial" w:cs="Arial"/>
          <w:sz w:val="18"/>
          <w:szCs w:val="18"/>
          <w:lang w:val="en-US"/>
        </w:rPr>
        <w:t xml:space="preserve"> t</w:t>
      </w:r>
      <w:r w:rsidRPr="009C7DD1">
        <w:rPr>
          <w:rFonts w:ascii="Arial" w:hAnsi="Arial" w:cs="Arial"/>
          <w:sz w:val="18"/>
          <w:szCs w:val="18"/>
          <w:lang w:val="en-US"/>
        </w:rPr>
        <w:t>he lower bound CI exceeded the 10% non-inferiority margin (Δ=−10%), superiority testing was performed.</w:t>
      </w:r>
    </w:p>
    <w:p w:rsidR="002A35BF" w:rsidRPr="009C7DD1" w:rsidRDefault="002A35BF" w:rsidP="00405002">
      <w:pPr>
        <w:spacing w:afterLines="60" w:line="360" w:lineRule="auto"/>
        <w:rPr>
          <w:rFonts w:ascii="Arial" w:hAnsi="Arial" w:cs="Arial"/>
          <w:sz w:val="18"/>
          <w:szCs w:val="18"/>
          <w:lang w:val="en-US"/>
        </w:rPr>
      </w:pPr>
      <w:r w:rsidRPr="009C7DD1">
        <w:rPr>
          <w:rFonts w:ascii="Arial" w:hAnsi="Arial" w:cs="Arial"/>
          <w:sz w:val="18"/>
          <w:szCs w:val="18"/>
          <w:lang w:val="en-US"/>
        </w:rPr>
        <w:t xml:space="preserve">CI, confidence interval; </w:t>
      </w:r>
      <w:r w:rsidR="00F909E4" w:rsidRPr="009C7DD1">
        <w:rPr>
          <w:rFonts w:ascii="Arial" w:hAnsi="Arial" w:cs="Arial"/>
          <w:sz w:val="18"/>
          <w:szCs w:val="18"/>
          <w:lang w:val="en-US"/>
        </w:rPr>
        <w:t xml:space="preserve">DOR, duration of response; </w:t>
      </w:r>
      <w:r w:rsidRPr="009C7DD1">
        <w:rPr>
          <w:rFonts w:ascii="Arial" w:hAnsi="Arial" w:cs="Arial"/>
          <w:sz w:val="18"/>
          <w:szCs w:val="18"/>
          <w:lang w:val="en-US"/>
        </w:rPr>
        <w:t xml:space="preserve">IPTW, inverse probability of treatment weighting; </w:t>
      </w:r>
      <w:r w:rsidR="001F7221" w:rsidRPr="009C7DD1">
        <w:rPr>
          <w:rFonts w:ascii="Arial" w:hAnsi="Arial" w:cs="Arial"/>
          <w:sz w:val="18"/>
          <w:szCs w:val="18"/>
          <w:lang w:val="en-US"/>
        </w:rPr>
        <w:t xml:space="preserve">NA, not applicable; </w:t>
      </w:r>
      <w:r w:rsidRPr="009C7DD1">
        <w:rPr>
          <w:rFonts w:ascii="Arial" w:hAnsi="Arial" w:cs="Arial"/>
          <w:sz w:val="18"/>
          <w:szCs w:val="18"/>
          <w:lang w:val="en-US"/>
        </w:rPr>
        <w:t xml:space="preserve">ORR, overall response rate; </w:t>
      </w:r>
      <w:r w:rsidR="00F909E4" w:rsidRPr="009C7DD1">
        <w:rPr>
          <w:rFonts w:ascii="Arial" w:hAnsi="Arial" w:cs="Arial"/>
          <w:sz w:val="18"/>
          <w:szCs w:val="18"/>
          <w:lang w:val="en-US"/>
        </w:rPr>
        <w:t xml:space="preserve">OS, overall survival; </w:t>
      </w:r>
      <w:r w:rsidR="001F7221" w:rsidRPr="009C7DD1">
        <w:rPr>
          <w:rFonts w:ascii="Arial" w:hAnsi="Arial" w:cs="Arial"/>
          <w:sz w:val="18"/>
          <w:szCs w:val="18"/>
          <w:lang w:val="en-US"/>
        </w:rPr>
        <w:t xml:space="preserve">PFS, progression-free survival; </w:t>
      </w:r>
      <w:r w:rsidRPr="009C7DD1">
        <w:rPr>
          <w:rFonts w:ascii="Arial" w:hAnsi="Arial" w:cs="Arial"/>
          <w:sz w:val="18"/>
          <w:szCs w:val="18"/>
          <w:lang w:val="en-US"/>
        </w:rPr>
        <w:t>RR-6m, response rate in the first 6 months of treatment; TKI, tyrosine kinase inhibitor.</w:t>
      </w:r>
    </w:p>
    <w:p w:rsidR="000C68C8" w:rsidRPr="009C7DD1" w:rsidRDefault="000C68C8" w:rsidP="000C68C8">
      <w:pPr>
        <w:pStyle w:val="Heading3"/>
        <w:spacing w:after="120"/>
        <w:rPr>
          <w:rFonts w:ascii="Arial" w:eastAsia="DengXian Light" w:hAnsi="Arial" w:cs="Arial"/>
          <w:b/>
          <w:color w:val="auto"/>
          <w:sz w:val="22"/>
          <w:szCs w:val="22"/>
          <w:lang w:val="en-US"/>
        </w:rPr>
        <w:sectPr w:rsidR="000C68C8" w:rsidRPr="009C7DD1" w:rsidSect="00A56F47">
          <w:pgSz w:w="11906" w:h="16838"/>
          <w:pgMar w:top="1440" w:right="1440" w:bottom="1440" w:left="1440" w:header="708" w:footer="708" w:gutter="0"/>
          <w:cols w:space="708"/>
          <w:docGrid w:linePitch="360"/>
        </w:sectPr>
      </w:pPr>
    </w:p>
    <w:p w:rsidR="000C68C8" w:rsidRPr="009C7DD1" w:rsidRDefault="000C68C8" w:rsidP="000C68C8">
      <w:pPr>
        <w:pStyle w:val="Heading3"/>
        <w:spacing w:after="120"/>
        <w:rPr>
          <w:rFonts w:ascii="Arial" w:eastAsia="DengXian Light" w:hAnsi="Arial" w:cs="Arial"/>
          <w:b/>
          <w:color w:val="auto"/>
          <w:sz w:val="22"/>
          <w:szCs w:val="22"/>
          <w:lang w:val="en-US"/>
        </w:rPr>
      </w:pPr>
      <w:r w:rsidRPr="009C7DD1">
        <w:rPr>
          <w:rFonts w:ascii="Arial" w:eastAsia="DengXian Light" w:hAnsi="Arial" w:cs="Arial"/>
          <w:b/>
          <w:color w:val="auto"/>
          <w:sz w:val="22"/>
          <w:szCs w:val="22"/>
          <w:lang w:val="en-US"/>
        </w:rPr>
        <w:lastRenderedPageBreak/>
        <w:t>Supplementary Table S2. Dose at initiation of index therapy</w:t>
      </w:r>
    </w:p>
    <w:tbl>
      <w:tblPr>
        <w:tblW w:w="5105" w:type="pct"/>
        <w:tblInd w:w="-5"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2366"/>
        <w:gridCol w:w="3674"/>
        <w:gridCol w:w="1649"/>
        <w:gridCol w:w="1649"/>
      </w:tblGrid>
      <w:tr w:rsidR="000C68C8" w:rsidRPr="009C7DD1" w:rsidTr="00445002">
        <w:trPr>
          <w:cantSplit/>
          <w:tblHeader/>
        </w:trPr>
        <w:tc>
          <w:tcPr>
            <w:tcW w:w="5953" w:type="dxa"/>
            <w:gridSpan w:val="2"/>
            <w:shd w:val="clear" w:color="auto" w:fill="auto"/>
            <w:tcMar>
              <w:left w:w="60" w:type="dxa"/>
              <w:right w:w="60" w:type="dxa"/>
            </w:tcMar>
            <w:vAlign w:val="center"/>
          </w:tcPr>
          <w:p w:rsidR="000C68C8" w:rsidRPr="009C7DD1" w:rsidRDefault="000C68C8" w:rsidP="00445002">
            <w:pPr>
              <w:keepNext/>
              <w:autoSpaceDE w:val="0"/>
              <w:autoSpaceDN w:val="0"/>
              <w:adjustRightInd w:val="0"/>
              <w:spacing w:after="0" w:line="360" w:lineRule="auto"/>
              <w:ind w:left="57"/>
              <w:rPr>
                <w:rFonts w:ascii="Arial" w:eastAsiaTheme="minorEastAsia" w:hAnsi="Arial" w:cs="Arial"/>
                <w:b/>
                <w:bCs/>
                <w:lang w:val="en-US"/>
              </w:rPr>
            </w:pPr>
            <w:r w:rsidRPr="009C7DD1">
              <w:rPr>
                <w:rFonts w:ascii="Arial" w:eastAsiaTheme="minorEastAsia" w:hAnsi="Arial" w:cs="Arial"/>
                <w:b/>
                <w:bCs/>
                <w:lang w:val="en-US"/>
              </w:rPr>
              <w:t>Baseline dose</w:t>
            </w:r>
          </w:p>
        </w:tc>
        <w:tc>
          <w:tcPr>
            <w:tcW w:w="1626" w:type="dxa"/>
            <w:shd w:val="clear" w:color="auto" w:fill="auto"/>
            <w:tcMar>
              <w:left w:w="60" w:type="dxa"/>
              <w:right w:w="60" w:type="dxa"/>
            </w:tcMar>
            <w:vAlign w:val="center"/>
          </w:tcPr>
          <w:p w:rsidR="000C68C8" w:rsidRPr="009C7DD1" w:rsidRDefault="000C68C8" w:rsidP="00445002">
            <w:pPr>
              <w:keepNext/>
              <w:autoSpaceDE w:val="0"/>
              <w:autoSpaceDN w:val="0"/>
              <w:adjustRightInd w:val="0"/>
              <w:spacing w:after="0" w:line="360" w:lineRule="auto"/>
              <w:ind w:left="57"/>
              <w:contextualSpacing/>
              <w:jc w:val="center"/>
              <w:rPr>
                <w:rFonts w:ascii="Arial" w:eastAsiaTheme="minorEastAsia" w:hAnsi="Arial" w:cs="Arial"/>
                <w:b/>
                <w:bCs/>
                <w:lang w:val="en-US"/>
              </w:rPr>
            </w:pPr>
            <w:r w:rsidRPr="009C7DD1">
              <w:rPr>
                <w:rFonts w:ascii="Arial" w:eastAsiaTheme="minorEastAsia" w:hAnsi="Arial" w:cs="Arial"/>
                <w:b/>
                <w:bCs/>
                <w:lang w:val="en-US"/>
              </w:rPr>
              <w:t>Cabozantinib</w:t>
            </w:r>
          </w:p>
          <w:p w:rsidR="000C68C8" w:rsidRPr="009C7DD1" w:rsidRDefault="000C68C8" w:rsidP="00445002">
            <w:pPr>
              <w:keepNext/>
              <w:autoSpaceDE w:val="0"/>
              <w:autoSpaceDN w:val="0"/>
              <w:adjustRightInd w:val="0"/>
              <w:spacing w:after="0" w:line="360" w:lineRule="auto"/>
              <w:ind w:left="57"/>
              <w:contextualSpacing/>
              <w:jc w:val="center"/>
              <w:rPr>
                <w:rFonts w:ascii="Arial" w:eastAsiaTheme="minorEastAsia" w:hAnsi="Arial" w:cs="Arial"/>
                <w:b/>
                <w:bCs/>
                <w:lang w:val="en-US"/>
              </w:rPr>
            </w:pPr>
            <w:r w:rsidRPr="009C7DD1">
              <w:rPr>
                <w:rFonts w:ascii="Arial" w:eastAsiaTheme="minorEastAsia" w:hAnsi="Arial" w:cs="Arial"/>
                <w:b/>
                <w:bCs/>
                <w:lang w:val="en-US"/>
              </w:rPr>
              <w:t>(n = 331)</w:t>
            </w:r>
          </w:p>
        </w:tc>
        <w:tc>
          <w:tcPr>
            <w:tcW w:w="1626" w:type="dxa"/>
            <w:shd w:val="clear" w:color="auto" w:fill="auto"/>
            <w:tcMar>
              <w:left w:w="60" w:type="dxa"/>
              <w:right w:w="60" w:type="dxa"/>
            </w:tcMar>
            <w:vAlign w:val="center"/>
          </w:tcPr>
          <w:p w:rsidR="000C68C8" w:rsidRPr="009C7DD1" w:rsidRDefault="000C68C8" w:rsidP="00445002">
            <w:pPr>
              <w:keepNext/>
              <w:autoSpaceDE w:val="0"/>
              <w:autoSpaceDN w:val="0"/>
              <w:adjustRightInd w:val="0"/>
              <w:spacing w:after="0" w:line="360" w:lineRule="auto"/>
              <w:ind w:left="57"/>
              <w:contextualSpacing/>
              <w:jc w:val="center"/>
              <w:rPr>
                <w:rFonts w:ascii="Arial" w:eastAsiaTheme="minorEastAsia" w:hAnsi="Arial" w:cs="Arial"/>
                <w:b/>
                <w:bCs/>
                <w:lang w:val="en-US"/>
              </w:rPr>
            </w:pPr>
            <w:r w:rsidRPr="009C7DD1">
              <w:rPr>
                <w:rFonts w:ascii="Arial" w:eastAsiaTheme="minorEastAsia" w:hAnsi="Arial" w:cs="Arial"/>
                <w:b/>
                <w:bCs/>
                <w:lang w:val="en-US"/>
              </w:rPr>
              <w:t>Other TKIs</w:t>
            </w:r>
          </w:p>
          <w:p w:rsidR="000C68C8" w:rsidRPr="009C7DD1" w:rsidRDefault="000C68C8" w:rsidP="00445002">
            <w:pPr>
              <w:keepNext/>
              <w:autoSpaceDE w:val="0"/>
              <w:autoSpaceDN w:val="0"/>
              <w:adjustRightInd w:val="0"/>
              <w:spacing w:after="0" w:line="360" w:lineRule="auto"/>
              <w:ind w:left="57"/>
              <w:contextualSpacing/>
              <w:jc w:val="center"/>
              <w:rPr>
                <w:rFonts w:ascii="Arial" w:eastAsiaTheme="minorEastAsia" w:hAnsi="Arial" w:cs="Arial"/>
                <w:b/>
                <w:bCs/>
                <w:lang w:val="en-US"/>
              </w:rPr>
            </w:pPr>
            <w:r w:rsidRPr="009C7DD1">
              <w:rPr>
                <w:rFonts w:ascii="Arial" w:eastAsiaTheme="minorEastAsia" w:hAnsi="Arial" w:cs="Arial"/>
                <w:b/>
                <w:bCs/>
                <w:lang w:val="en-US"/>
              </w:rPr>
              <w:t>(n = 154)</w:t>
            </w:r>
          </w:p>
        </w:tc>
      </w:tr>
      <w:tr w:rsidR="000C68C8" w:rsidRPr="009C7DD1" w:rsidTr="00445002">
        <w:trPr>
          <w:cantSplit/>
        </w:trPr>
        <w:tc>
          <w:tcPr>
            <w:tcW w:w="2331" w:type="dxa"/>
            <w:vMerge w:val="restart"/>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hAnsi="Arial" w:cs="Arial"/>
                <w:b/>
                <w:bCs/>
                <w:color w:val="000000"/>
                <w:vertAlign w:val="superscript"/>
                <w:lang w:val="en-US"/>
              </w:rPr>
            </w:pPr>
            <w:r w:rsidRPr="009C7DD1">
              <w:rPr>
                <w:rFonts w:ascii="Arial" w:eastAsiaTheme="minorEastAsia" w:hAnsi="Arial" w:cs="Arial"/>
                <w:b/>
                <w:bCs/>
                <w:color w:val="000000"/>
                <w:lang w:val="en-US"/>
              </w:rPr>
              <w:t>Cabozantinib, n (%)</w:t>
            </w:r>
            <w:r w:rsidRPr="009C7DD1">
              <w:rPr>
                <w:rFonts w:ascii="Arial" w:eastAsiaTheme="minorEastAsia" w:hAnsi="Arial" w:cs="Arial"/>
                <w:b/>
                <w:bCs/>
                <w:color w:val="000000"/>
                <w:vertAlign w:val="superscript"/>
                <w:lang w:val="en-US"/>
              </w:rPr>
              <w:t>a</w:t>
            </w: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hAnsi="Arial" w:cs="Arial"/>
                <w:color w:val="000000"/>
                <w:lang w:val="en-US"/>
              </w:rPr>
            </w:pPr>
            <w:r w:rsidRPr="009C7DD1">
              <w:rPr>
                <w:rFonts w:ascii="Arial" w:hAnsi="Arial" w:cs="Arial"/>
                <w:color w:val="000000"/>
                <w:lang w:val="en-US"/>
              </w:rPr>
              <w:t>Patients with available data</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eastAsiaTheme="minorEastAsia" w:hAnsi="Arial" w:cs="Arial"/>
                <w:color w:val="000000"/>
                <w:lang w:val="en-US"/>
              </w:rPr>
              <w:t>330</w:t>
            </w:r>
          </w:p>
        </w:tc>
        <w:tc>
          <w:tcPr>
            <w:tcW w:w="1626" w:type="dxa"/>
            <w:shd w:val="clear" w:color="auto" w:fill="FFFFFF"/>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eastAsiaTheme="minorEastAsia" w:hAnsi="Arial" w:cs="Arial"/>
                <w:color w:val="000000" w:themeColor="dark1"/>
                <w:kern w:val="24"/>
                <w:lang w:val="en-US"/>
              </w:rPr>
              <w:t>–</w:t>
            </w:r>
          </w:p>
        </w:tc>
      </w:tr>
      <w:tr w:rsidR="000C68C8" w:rsidRPr="009C7DD1" w:rsidTr="00445002">
        <w:trPr>
          <w:cantSplit/>
        </w:trPr>
        <w:tc>
          <w:tcPr>
            <w:tcW w:w="2331" w:type="dxa"/>
            <w:vMerge/>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eastAsiaTheme="minorEastAsia" w:hAnsi="Arial" w:cs="Arial"/>
                <w:b/>
                <w:bCs/>
                <w:color w:val="000000"/>
                <w:lang w:val="en-US"/>
              </w:rPr>
            </w:pP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hAnsi="Arial" w:cs="Arial"/>
                <w:color w:val="000000" w:themeColor="dark1"/>
                <w:kern w:val="24"/>
                <w:lang w:val="en-US"/>
              </w:rPr>
            </w:pPr>
            <w:r w:rsidRPr="009C7DD1">
              <w:rPr>
                <w:rFonts w:ascii="Arial" w:hAnsi="Arial" w:cs="Arial"/>
                <w:color w:val="000000" w:themeColor="dark1"/>
                <w:kern w:val="24"/>
                <w:lang w:val="en-US"/>
              </w:rPr>
              <w:t>Recommended dose (60 mg/day</w:t>
            </w:r>
            <w:r w:rsidRPr="009C7DD1">
              <w:rPr>
                <w:rFonts w:ascii="Arial" w:eastAsiaTheme="minorEastAsia" w:hAnsi="Arial" w:cs="Arial"/>
                <w:color w:val="000000"/>
                <w:lang w:val="en-US"/>
              </w:rPr>
              <w:t>)</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hAnsi="Arial" w:cs="Arial"/>
                <w:color w:val="000000" w:themeColor="dark1"/>
                <w:kern w:val="24"/>
                <w:lang w:val="en-US"/>
              </w:rPr>
            </w:pPr>
            <w:r w:rsidRPr="009C7DD1">
              <w:rPr>
                <w:rFonts w:ascii="Arial" w:hAnsi="Arial" w:cs="Arial"/>
                <w:color w:val="000000" w:themeColor="dark1"/>
                <w:kern w:val="24"/>
                <w:lang w:val="en-US"/>
              </w:rPr>
              <w:t>204 (61.6)</w:t>
            </w:r>
          </w:p>
        </w:tc>
        <w:tc>
          <w:tcPr>
            <w:tcW w:w="1626" w:type="dxa"/>
            <w:shd w:val="clear" w:color="auto" w:fill="FFFFFF"/>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themeColor="dark1"/>
                <w:kern w:val="24"/>
                <w:lang w:val="en-US"/>
              </w:rPr>
            </w:pPr>
            <w:r w:rsidRPr="009C7DD1">
              <w:rPr>
                <w:rFonts w:ascii="Arial" w:eastAsiaTheme="minorEastAsia" w:hAnsi="Arial" w:cs="Arial"/>
                <w:color w:val="000000" w:themeColor="dark1"/>
                <w:kern w:val="24"/>
                <w:lang w:val="en-US"/>
              </w:rPr>
              <w:t>–</w:t>
            </w:r>
          </w:p>
        </w:tc>
      </w:tr>
      <w:tr w:rsidR="000C68C8" w:rsidRPr="009C7DD1" w:rsidTr="00445002">
        <w:trPr>
          <w:cantSplit/>
        </w:trPr>
        <w:tc>
          <w:tcPr>
            <w:tcW w:w="2331" w:type="dxa"/>
            <w:vMerge w:val="restart"/>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eastAsiaTheme="minorEastAsia" w:hAnsi="Arial" w:cs="Arial"/>
                <w:b/>
                <w:bCs/>
                <w:color w:val="000000"/>
                <w:lang w:val="en-US"/>
              </w:rPr>
            </w:pPr>
            <w:r w:rsidRPr="009C7DD1">
              <w:rPr>
                <w:rFonts w:ascii="Arial" w:eastAsiaTheme="minorEastAsia" w:hAnsi="Arial" w:cs="Arial"/>
                <w:b/>
                <w:bCs/>
                <w:color w:val="000000"/>
                <w:lang w:val="en-US"/>
              </w:rPr>
              <w:t>Axitinib, n (%)</w:t>
            </w:r>
            <w:r w:rsidRPr="009C7DD1">
              <w:rPr>
                <w:rFonts w:ascii="Arial" w:eastAsiaTheme="minorEastAsia" w:hAnsi="Arial" w:cs="Arial"/>
                <w:b/>
                <w:bCs/>
                <w:color w:val="000000"/>
                <w:vertAlign w:val="superscript"/>
                <w:lang w:val="en-US"/>
              </w:rPr>
              <w:t>b</w:t>
            </w: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eastAsiaTheme="minorEastAsia" w:hAnsi="Arial" w:cs="Arial"/>
                <w:color w:val="000000"/>
                <w:lang w:val="en-US"/>
              </w:rPr>
            </w:pPr>
            <w:r w:rsidRPr="009C7DD1">
              <w:rPr>
                <w:rFonts w:ascii="Arial" w:eastAsiaTheme="minorEastAsia" w:hAnsi="Arial" w:cs="Arial"/>
                <w:color w:val="000000"/>
                <w:lang w:val="en-US"/>
              </w:rPr>
              <w:t>Patients with available data</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hAnsi="Arial" w:cs="Arial"/>
                <w:color w:val="000000" w:themeColor="dark1"/>
                <w:kern w:val="24"/>
                <w:lang w:val="en-US"/>
              </w:rPr>
              <w:t>–</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hAnsi="Arial" w:cs="Arial"/>
                <w:color w:val="000000" w:themeColor="dark1"/>
                <w:kern w:val="24"/>
                <w:lang w:val="en-US"/>
              </w:rPr>
              <w:t>58</w:t>
            </w:r>
          </w:p>
        </w:tc>
      </w:tr>
      <w:tr w:rsidR="000C68C8" w:rsidRPr="009C7DD1" w:rsidTr="00445002">
        <w:trPr>
          <w:cantSplit/>
        </w:trPr>
        <w:tc>
          <w:tcPr>
            <w:tcW w:w="2331" w:type="dxa"/>
            <w:vMerge/>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eastAsiaTheme="minorEastAsia" w:hAnsi="Arial" w:cs="Arial"/>
                <w:color w:val="000000"/>
                <w:lang w:val="en-US"/>
              </w:rPr>
            </w:pP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eastAsiaTheme="minorEastAsia" w:hAnsi="Arial" w:cs="Arial"/>
                <w:color w:val="000000"/>
                <w:lang w:val="en-US"/>
              </w:rPr>
            </w:pPr>
            <w:r w:rsidRPr="009C7DD1">
              <w:rPr>
                <w:rFonts w:ascii="Arial" w:eastAsiaTheme="minorEastAsia" w:hAnsi="Arial" w:cs="Arial"/>
                <w:color w:val="000000"/>
                <w:lang w:val="en-US"/>
              </w:rPr>
              <w:t>Recommended dose (10 mg/day)</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eastAsiaTheme="minorEastAsia" w:hAnsi="Arial" w:cs="Arial"/>
                <w:color w:val="000000" w:themeColor="dark1"/>
                <w:kern w:val="24"/>
                <w:lang w:val="en-US"/>
              </w:rPr>
              <w:t>–</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hAnsi="Arial" w:cs="Arial"/>
                <w:color w:val="000000" w:themeColor="dark1"/>
                <w:kern w:val="24"/>
                <w:lang w:val="en-US"/>
              </w:rPr>
              <w:t>41 (70.7)</w:t>
            </w:r>
          </w:p>
        </w:tc>
      </w:tr>
      <w:tr w:rsidR="000C68C8" w:rsidRPr="009C7DD1" w:rsidTr="00445002">
        <w:trPr>
          <w:cantSplit/>
        </w:trPr>
        <w:tc>
          <w:tcPr>
            <w:tcW w:w="2331" w:type="dxa"/>
            <w:vMerge w:val="restart"/>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eastAsiaTheme="minorEastAsia" w:hAnsi="Arial" w:cs="Arial"/>
                <w:color w:val="000000"/>
                <w:lang w:val="en-US"/>
              </w:rPr>
            </w:pPr>
            <w:r w:rsidRPr="009C7DD1">
              <w:rPr>
                <w:rFonts w:ascii="Arial" w:eastAsiaTheme="minorEastAsia" w:hAnsi="Arial" w:cs="Arial"/>
                <w:b/>
                <w:bCs/>
                <w:color w:val="000000"/>
                <w:lang w:val="en-US"/>
              </w:rPr>
              <w:t>Lenvatinib, n (%)</w:t>
            </w:r>
            <w:r w:rsidRPr="009C7DD1">
              <w:rPr>
                <w:rFonts w:ascii="Arial" w:eastAsiaTheme="minorEastAsia" w:hAnsi="Arial" w:cs="Arial"/>
                <w:b/>
                <w:bCs/>
                <w:color w:val="000000"/>
                <w:vertAlign w:val="superscript"/>
                <w:lang w:val="en-US"/>
              </w:rPr>
              <w:t>c</w:t>
            </w: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eastAsiaTheme="minorEastAsia" w:hAnsi="Arial" w:cs="Arial"/>
                <w:color w:val="000000"/>
                <w:lang w:val="en-US"/>
              </w:rPr>
            </w:pPr>
            <w:r w:rsidRPr="009C7DD1">
              <w:rPr>
                <w:rFonts w:ascii="Arial" w:hAnsi="Arial" w:cs="Arial"/>
                <w:color w:val="000000" w:themeColor="dark1"/>
                <w:kern w:val="24"/>
                <w:lang w:val="en-US"/>
              </w:rPr>
              <w:t>Patients with available data</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eastAsiaTheme="minorEastAsia" w:hAnsi="Arial" w:cs="Arial"/>
                <w:color w:val="000000" w:themeColor="dark1"/>
                <w:kern w:val="24"/>
                <w:lang w:val="en-US"/>
              </w:rPr>
              <w:t>–</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hAnsi="Arial" w:cs="Arial"/>
                <w:color w:val="000000" w:themeColor="dark1"/>
                <w:kern w:val="24"/>
                <w:lang w:val="en-US"/>
              </w:rPr>
              <w:t>25</w:t>
            </w:r>
          </w:p>
        </w:tc>
      </w:tr>
      <w:tr w:rsidR="000C68C8" w:rsidRPr="009C7DD1" w:rsidTr="00445002">
        <w:trPr>
          <w:cantSplit/>
        </w:trPr>
        <w:tc>
          <w:tcPr>
            <w:tcW w:w="2331" w:type="dxa"/>
            <w:vMerge/>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eastAsiaTheme="minorEastAsia" w:hAnsi="Arial" w:cs="Arial"/>
                <w:color w:val="000000"/>
                <w:lang w:val="en-US"/>
              </w:rPr>
            </w:pP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eastAsiaTheme="minorEastAsia" w:hAnsi="Arial" w:cs="Arial"/>
                <w:color w:val="000000"/>
                <w:lang w:val="en-US"/>
              </w:rPr>
            </w:pPr>
            <w:r w:rsidRPr="009C7DD1">
              <w:rPr>
                <w:rFonts w:ascii="Arial" w:hAnsi="Arial" w:cs="Arial"/>
                <w:color w:val="000000" w:themeColor="dark1"/>
                <w:kern w:val="24"/>
                <w:lang w:val="en-US"/>
              </w:rPr>
              <w:t>Recommended dose (18 mg/day)</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eastAsiaTheme="minorEastAsia" w:hAnsi="Arial" w:cs="Arial"/>
                <w:color w:val="000000" w:themeColor="dark1"/>
                <w:kern w:val="24"/>
                <w:lang w:val="en-US"/>
              </w:rPr>
              <w:t>–</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hAnsi="Arial" w:cs="Arial"/>
                <w:color w:val="000000" w:themeColor="dark1"/>
                <w:kern w:val="24"/>
                <w:lang w:val="en-US"/>
              </w:rPr>
              <w:t>20 (80.0)</w:t>
            </w:r>
          </w:p>
        </w:tc>
      </w:tr>
      <w:tr w:rsidR="000C68C8" w:rsidRPr="009C7DD1" w:rsidTr="00445002">
        <w:trPr>
          <w:cantSplit/>
        </w:trPr>
        <w:tc>
          <w:tcPr>
            <w:tcW w:w="2331" w:type="dxa"/>
            <w:vMerge w:val="restart"/>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eastAsiaTheme="minorEastAsia" w:hAnsi="Arial" w:cs="Arial"/>
                <w:color w:val="000000"/>
                <w:lang w:val="en-US"/>
              </w:rPr>
            </w:pPr>
            <w:r w:rsidRPr="009C7DD1">
              <w:rPr>
                <w:rFonts w:ascii="Arial" w:eastAsiaTheme="minorEastAsia" w:hAnsi="Arial" w:cs="Arial"/>
                <w:b/>
                <w:bCs/>
                <w:color w:val="000000"/>
                <w:lang w:val="en-US"/>
              </w:rPr>
              <w:t>Pazopanib, n (%)</w:t>
            </w:r>
            <w:r w:rsidRPr="009C7DD1">
              <w:rPr>
                <w:rFonts w:ascii="Arial" w:eastAsiaTheme="minorEastAsia" w:hAnsi="Arial" w:cs="Arial"/>
                <w:b/>
                <w:bCs/>
                <w:color w:val="000000"/>
                <w:vertAlign w:val="superscript"/>
                <w:lang w:val="en-US"/>
              </w:rPr>
              <w:t>d</w:t>
            </w: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eastAsiaTheme="minorEastAsia" w:hAnsi="Arial" w:cs="Arial"/>
                <w:color w:val="000000"/>
                <w:lang w:val="en-US"/>
              </w:rPr>
            </w:pPr>
            <w:r w:rsidRPr="009C7DD1">
              <w:rPr>
                <w:rFonts w:ascii="Arial" w:hAnsi="Arial" w:cs="Arial"/>
                <w:color w:val="000000" w:themeColor="dark1"/>
                <w:kern w:val="24"/>
                <w:lang w:val="en-US"/>
              </w:rPr>
              <w:t>Patients with available data</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eastAsiaTheme="minorEastAsia" w:hAnsi="Arial" w:cs="Arial"/>
                <w:color w:val="000000" w:themeColor="dark1"/>
                <w:kern w:val="24"/>
                <w:lang w:val="en-US"/>
              </w:rPr>
              <w:t>–</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hAnsi="Arial" w:cs="Arial"/>
                <w:color w:val="000000" w:themeColor="dark1"/>
                <w:kern w:val="24"/>
                <w:lang w:val="en-US"/>
              </w:rPr>
              <w:t>49</w:t>
            </w:r>
          </w:p>
        </w:tc>
      </w:tr>
      <w:tr w:rsidR="000C68C8" w:rsidRPr="009C7DD1" w:rsidTr="00445002">
        <w:trPr>
          <w:cantSplit/>
        </w:trPr>
        <w:tc>
          <w:tcPr>
            <w:tcW w:w="2331" w:type="dxa"/>
            <w:vMerge/>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eastAsiaTheme="minorEastAsia" w:hAnsi="Arial" w:cs="Arial"/>
                <w:color w:val="000000"/>
                <w:lang w:val="en-US"/>
              </w:rPr>
            </w:pP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eastAsiaTheme="minorEastAsia" w:hAnsi="Arial" w:cs="Arial"/>
                <w:color w:val="000000"/>
                <w:lang w:val="en-US"/>
              </w:rPr>
            </w:pPr>
            <w:r w:rsidRPr="009C7DD1">
              <w:rPr>
                <w:rFonts w:ascii="Arial" w:hAnsi="Arial" w:cs="Arial"/>
                <w:color w:val="000000" w:themeColor="dark1"/>
                <w:kern w:val="24"/>
                <w:lang w:val="en-US"/>
              </w:rPr>
              <w:t>Recommended dose (800 mg/day)</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eastAsiaTheme="minorEastAsia" w:hAnsi="Arial" w:cs="Arial"/>
                <w:color w:val="000000" w:themeColor="dark1"/>
                <w:kern w:val="24"/>
                <w:lang w:val="en-US"/>
              </w:rPr>
              <w:t>–</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hAnsi="Arial" w:cs="Arial"/>
                <w:color w:val="000000" w:themeColor="dark1"/>
                <w:kern w:val="24"/>
                <w:lang w:val="en-US"/>
              </w:rPr>
              <w:t>32 (65.3)</w:t>
            </w:r>
          </w:p>
        </w:tc>
      </w:tr>
      <w:tr w:rsidR="000C68C8" w:rsidRPr="009C7DD1" w:rsidTr="00445002">
        <w:trPr>
          <w:cantSplit/>
        </w:trPr>
        <w:tc>
          <w:tcPr>
            <w:tcW w:w="2331" w:type="dxa"/>
            <w:vMerge w:val="restart"/>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eastAsiaTheme="minorEastAsia" w:hAnsi="Arial" w:cs="Arial"/>
                <w:color w:val="000000"/>
                <w:lang w:val="en-US"/>
              </w:rPr>
            </w:pPr>
            <w:r w:rsidRPr="009C7DD1">
              <w:rPr>
                <w:rFonts w:ascii="Arial" w:eastAsiaTheme="minorEastAsia" w:hAnsi="Arial" w:cs="Arial"/>
                <w:b/>
                <w:bCs/>
                <w:color w:val="000000"/>
                <w:lang w:val="en-US"/>
              </w:rPr>
              <w:t>Sunitinib, n (%)</w:t>
            </w:r>
            <w:r w:rsidRPr="009C7DD1">
              <w:rPr>
                <w:rFonts w:ascii="Arial" w:eastAsiaTheme="minorEastAsia" w:hAnsi="Arial" w:cs="Arial"/>
                <w:b/>
                <w:bCs/>
                <w:color w:val="000000"/>
                <w:vertAlign w:val="superscript"/>
                <w:lang w:val="en-US"/>
              </w:rPr>
              <w:t>e</w:t>
            </w: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eastAsiaTheme="minorEastAsia" w:hAnsi="Arial" w:cs="Arial"/>
                <w:color w:val="000000"/>
                <w:lang w:val="en-US"/>
              </w:rPr>
            </w:pPr>
            <w:r w:rsidRPr="009C7DD1">
              <w:rPr>
                <w:rFonts w:ascii="Arial" w:hAnsi="Arial" w:cs="Arial"/>
                <w:color w:val="000000" w:themeColor="dark1"/>
                <w:kern w:val="24"/>
                <w:lang w:val="en-US"/>
              </w:rPr>
              <w:t>Patients with available data</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eastAsiaTheme="minorEastAsia" w:hAnsi="Arial" w:cs="Arial"/>
                <w:color w:val="000000" w:themeColor="dark1"/>
                <w:kern w:val="24"/>
                <w:lang w:val="en-US"/>
              </w:rPr>
              <w:t>–</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hAnsi="Arial" w:cs="Arial"/>
                <w:color w:val="000000" w:themeColor="dark1"/>
                <w:kern w:val="24"/>
                <w:lang w:val="en-US"/>
              </w:rPr>
              <w:t>22</w:t>
            </w:r>
          </w:p>
        </w:tc>
      </w:tr>
      <w:tr w:rsidR="000C68C8" w:rsidRPr="009C7DD1" w:rsidTr="00445002">
        <w:trPr>
          <w:cantSplit/>
        </w:trPr>
        <w:tc>
          <w:tcPr>
            <w:tcW w:w="2331" w:type="dxa"/>
            <w:vMerge/>
            <w:shd w:val="clear" w:color="auto" w:fill="auto"/>
            <w:tcMar>
              <w:left w:w="60" w:type="dxa"/>
              <w:right w:w="60" w:type="dxa"/>
            </w:tcMar>
            <w:vAlign w:val="center"/>
          </w:tcPr>
          <w:p w:rsidR="000C68C8" w:rsidRPr="009C7DD1" w:rsidRDefault="000C68C8" w:rsidP="00445002">
            <w:pPr>
              <w:autoSpaceDE w:val="0"/>
              <w:autoSpaceDN w:val="0"/>
              <w:adjustRightInd w:val="0"/>
              <w:spacing w:after="0" w:line="360" w:lineRule="auto"/>
              <w:ind w:left="57"/>
              <w:rPr>
                <w:rFonts w:ascii="Arial" w:eastAsiaTheme="minorEastAsia" w:hAnsi="Arial" w:cs="Arial"/>
                <w:color w:val="000000"/>
                <w:lang w:val="en-US"/>
              </w:rPr>
            </w:pPr>
          </w:p>
        </w:tc>
        <w:tc>
          <w:tcPr>
            <w:tcW w:w="3622" w:type="dxa"/>
            <w:shd w:val="clear" w:color="auto" w:fill="auto"/>
            <w:vAlign w:val="center"/>
          </w:tcPr>
          <w:p w:rsidR="000C68C8" w:rsidRPr="009C7DD1" w:rsidRDefault="000C68C8" w:rsidP="00445002">
            <w:pPr>
              <w:autoSpaceDE w:val="0"/>
              <w:autoSpaceDN w:val="0"/>
              <w:adjustRightInd w:val="0"/>
              <w:spacing w:after="0" w:line="360" w:lineRule="auto"/>
              <w:ind w:left="113"/>
              <w:rPr>
                <w:rFonts w:ascii="Arial" w:eastAsiaTheme="minorEastAsia" w:hAnsi="Arial" w:cs="Arial"/>
                <w:color w:val="000000"/>
                <w:lang w:val="en-US"/>
              </w:rPr>
            </w:pPr>
            <w:r w:rsidRPr="009C7DD1">
              <w:rPr>
                <w:rFonts w:ascii="Arial" w:hAnsi="Arial" w:cs="Arial"/>
                <w:color w:val="000000" w:themeColor="dark1"/>
                <w:kern w:val="24"/>
                <w:lang w:val="en-US"/>
              </w:rPr>
              <w:t>Recommended dose (50 mg/day)</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eastAsiaTheme="minorEastAsia" w:hAnsi="Arial" w:cs="Arial"/>
                <w:color w:val="000000" w:themeColor="dark1"/>
                <w:kern w:val="24"/>
                <w:lang w:val="en-US"/>
              </w:rPr>
              <w:t>–</w:t>
            </w:r>
          </w:p>
        </w:tc>
        <w:tc>
          <w:tcPr>
            <w:tcW w:w="1626" w:type="dxa"/>
            <w:shd w:val="clear" w:color="auto" w:fill="FFFFFF"/>
            <w:tcMar>
              <w:left w:w="60" w:type="dxa"/>
              <w:right w:w="60" w:type="dxa"/>
            </w:tcMar>
            <w:vAlign w:val="center"/>
          </w:tcPr>
          <w:p w:rsidR="000C68C8" w:rsidRPr="009C7DD1" w:rsidRDefault="000C68C8" w:rsidP="00445002">
            <w:pPr>
              <w:autoSpaceDE w:val="0"/>
              <w:autoSpaceDN w:val="0"/>
              <w:adjustRightInd w:val="0"/>
              <w:spacing w:after="0" w:line="360" w:lineRule="auto"/>
              <w:ind w:left="57"/>
              <w:jc w:val="center"/>
              <w:rPr>
                <w:rFonts w:ascii="Arial" w:eastAsiaTheme="minorEastAsia" w:hAnsi="Arial" w:cs="Arial"/>
                <w:color w:val="000000"/>
                <w:lang w:val="en-US"/>
              </w:rPr>
            </w:pPr>
            <w:r w:rsidRPr="009C7DD1">
              <w:rPr>
                <w:rFonts w:ascii="Arial" w:hAnsi="Arial" w:cs="Arial"/>
                <w:color w:val="000000" w:themeColor="dark1"/>
                <w:kern w:val="24"/>
                <w:lang w:val="en-US"/>
              </w:rPr>
              <w:t>14 (63.6)</w:t>
            </w:r>
          </w:p>
        </w:tc>
      </w:tr>
    </w:tbl>
    <w:p w:rsidR="000C68C8" w:rsidRPr="009C7DD1" w:rsidRDefault="000C68C8" w:rsidP="00405002">
      <w:pPr>
        <w:spacing w:afterLines="60" w:line="360" w:lineRule="auto"/>
        <w:rPr>
          <w:rFonts w:ascii="Arial" w:hAnsi="Arial" w:cs="Arial"/>
          <w:sz w:val="18"/>
          <w:szCs w:val="18"/>
          <w:lang w:val="en-US"/>
        </w:rPr>
      </w:pPr>
      <w:r w:rsidRPr="009C7DD1">
        <w:rPr>
          <w:rFonts w:ascii="Arial" w:hAnsi="Arial" w:cs="Arial"/>
          <w:sz w:val="18"/>
          <w:szCs w:val="18"/>
          <w:vertAlign w:val="superscript"/>
          <w:lang w:val="en-US"/>
        </w:rPr>
        <w:t>a</w:t>
      </w:r>
      <w:r w:rsidRPr="009C7DD1">
        <w:rPr>
          <w:rFonts w:ascii="Arial" w:hAnsi="Arial" w:cs="Arial"/>
          <w:sz w:val="18"/>
          <w:szCs w:val="18"/>
          <w:lang w:val="en-US"/>
        </w:rPr>
        <w:t xml:space="preserve">20 mg/day: n = 23 (6.9%); 30 mg/day: n = 1 (0.3%); 40 mg/day: n = 102 (30.8%); not documented: n = 1 (0.3%); </w:t>
      </w:r>
      <w:proofErr w:type="spellStart"/>
      <w:r w:rsidRPr="009C7DD1">
        <w:rPr>
          <w:rFonts w:ascii="Arial" w:hAnsi="Arial" w:cs="Arial"/>
          <w:sz w:val="18"/>
          <w:szCs w:val="18"/>
          <w:vertAlign w:val="superscript"/>
          <w:lang w:val="en-US"/>
        </w:rPr>
        <w:t>b</w:t>
      </w:r>
      <w:r w:rsidRPr="009C7DD1">
        <w:rPr>
          <w:rFonts w:ascii="Arial" w:hAnsi="Arial" w:cs="Arial"/>
          <w:sz w:val="18"/>
          <w:szCs w:val="18"/>
          <w:lang w:val="en-US"/>
        </w:rPr>
        <w:t>Low</w:t>
      </w:r>
      <w:proofErr w:type="spellEnd"/>
      <w:r w:rsidRPr="009C7DD1">
        <w:rPr>
          <w:rFonts w:ascii="Arial" w:hAnsi="Arial" w:cs="Arial"/>
          <w:sz w:val="18"/>
          <w:szCs w:val="18"/>
          <w:lang w:val="en-US"/>
        </w:rPr>
        <w:t xml:space="preserve"> dose: n = 14 (24.1%); high dose: n = 2 (3.4%); not documented: n = 1 (1.7%); </w:t>
      </w:r>
      <w:proofErr w:type="spellStart"/>
      <w:r w:rsidRPr="009C7DD1">
        <w:rPr>
          <w:rFonts w:ascii="Arial" w:hAnsi="Arial" w:cs="Arial"/>
          <w:sz w:val="18"/>
          <w:szCs w:val="18"/>
          <w:vertAlign w:val="superscript"/>
          <w:lang w:val="en-US"/>
        </w:rPr>
        <w:t>c</w:t>
      </w:r>
      <w:r w:rsidRPr="009C7DD1">
        <w:rPr>
          <w:rFonts w:ascii="Arial" w:hAnsi="Arial" w:cs="Arial"/>
          <w:sz w:val="18"/>
          <w:szCs w:val="18"/>
          <w:lang w:val="en-US"/>
        </w:rPr>
        <w:t>Low</w:t>
      </w:r>
      <w:proofErr w:type="spellEnd"/>
      <w:r w:rsidRPr="009C7DD1">
        <w:rPr>
          <w:rFonts w:ascii="Arial" w:hAnsi="Arial" w:cs="Arial"/>
          <w:sz w:val="18"/>
          <w:szCs w:val="18"/>
          <w:lang w:val="en-US"/>
        </w:rPr>
        <w:t xml:space="preserve"> dose: n = 5 (20.0%); </w:t>
      </w:r>
      <w:proofErr w:type="spellStart"/>
      <w:r w:rsidRPr="009C7DD1">
        <w:rPr>
          <w:rFonts w:ascii="Arial" w:hAnsi="Arial" w:cs="Arial"/>
          <w:sz w:val="18"/>
          <w:szCs w:val="18"/>
          <w:vertAlign w:val="superscript"/>
          <w:lang w:val="en-US"/>
        </w:rPr>
        <w:t>d</w:t>
      </w:r>
      <w:r w:rsidRPr="009C7DD1">
        <w:rPr>
          <w:rFonts w:ascii="Arial" w:hAnsi="Arial" w:cs="Arial"/>
          <w:sz w:val="18"/>
          <w:szCs w:val="18"/>
          <w:lang w:val="en-US"/>
        </w:rPr>
        <w:t>Low</w:t>
      </w:r>
      <w:proofErr w:type="spellEnd"/>
      <w:r w:rsidRPr="009C7DD1">
        <w:rPr>
          <w:rFonts w:ascii="Arial" w:hAnsi="Arial" w:cs="Arial"/>
          <w:sz w:val="18"/>
          <w:szCs w:val="18"/>
          <w:lang w:val="en-US"/>
        </w:rPr>
        <w:t xml:space="preserve"> dose: n = 17 (34.7%); </w:t>
      </w:r>
      <w:proofErr w:type="spellStart"/>
      <w:r w:rsidRPr="009C7DD1">
        <w:rPr>
          <w:rFonts w:ascii="Arial" w:hAnsi="Arial" w:cs="Arial"/>
          <w:sz w:val="18"/>
          <w:szCs w:val="18"/>
          <w:vertAlign w:val="superscript"/>
          <w:lang w:val="en-US"/>
        </w:rPr>
        <w:t>e</w:t>
      </w:r>
      <w:r w:rsidRPr="009C7DD1">
        <w:rPr>
          <w:rFonts w:ascii="Arial" w:hAnsi="Arial" w:cs="Arial"/>
          <w:sz w:val="18"/>
          <w:szCs w:val="18"/>
          <w:lang w:val="en-US"/>
        </w:rPr>
        <w:t>Low</w:t>
      </w:r>
      <w:proofErr w:type="spellEnd"/>
      <w:r w:rsidRPr="009C7DD1">
        <w:rPr>
          <w:rFonts w:ascii="Arial" w:hAnsi="Arial" w:cs="Arial"/>
          <w:sz w:val="18"/>
          <w:szCs w:val="18"/>
          <w:lang w:val="en-US"/>
        </w:rPr>
        <w:t xml:space="preserve"> dose: n = 8 (36.4%).</w:t>
      </w:r>
    </w:p>
    <w:p w:rsidR="000C68C8" w:rsidRPr="009C7DD1" w:rsidRDefault="000C68C8" w:rsidP="00405002">
      <w:pPr>
        <w:spacing w:afterLines="60" w:line="360" w:lineRule="auto"/>
        <w:rPr>
          <w:rFonts w:ascii="Arial" w:hAnsi="Arial" w:cs="Arial"/>
          <w:sz w:val="18"/>
          <w:szCs w:val="18"/>
          <w:lang w:val="en-US"/>
        </w:rPr>
      </w:pPr>
    </w:p>
    <w:p w:rsidR="005B4BC1" w:rsidRPr="009C7DD1" w:rsidRDefault="005B4BC1" w:rsidP="000D2448">
      <w:pPr>
        <w:rPr>
          <w:rFonts w:ascii="Arial" w:eastAsia="DengXian Light" w:hAnsi="Arial" w:cs="Arial"/>
          <w:b/>
          <w:lang w:val="en-US"/>
        </w:rPr>
      </w:pPr>
    </w:p>
    <w:p w:rsidR="005B4BC1" w:rsidRPr="009C7DD1" w:rsidRDefault="005B4BC1" w:rsidP="000D2448">
      <w:pPr>
        <w:rPr>
          <w:rFonts w:ascii="Arial" w:eastAsia="DengXian Light" w:hAnsi="Arial" w:cs="Arial"/>
          <w:b/>
          <w:lang w:val="en-US"/>
        </w:rPr>
      </w:pPr>
    </w:p>
    <w:p w:rsidR="005B4BC1" w:rsidRPr="009C7DD1" w:rsidRDefault="005B4BC1" w:rsidP="000D2448">
      <w:pPr>
        <w:rPr>
          <w:rFonts w:ascii="Arial" w:eastAsia="DengXian Light" w:hAnsi="Arial" w:cs="Arial"/>
          <w:b/>
          <w:lang w:val="en-US"/>
        </w:rPr>
      </w:pPr>
    </w:p>
    <w:p w:rsidR="005B4BC1" w:rsidRPr="009C7DD1" w:rsidRDefault="005B4BC1" w:rsidP="000D2448">
      <w:pPr>
        <w:rPr>
          <w:rFonts w:ascii="Arial" w:eastAsia="DengXian Light" w:hAnsi="Arial" w:cs="Arial"/>
          <w:b/>
          <w:lang w:val="en-US"/>
        </w:rPr>
      </w:pPr>
    </w:p>
    <w:p w:rsidR="005B4BC1" w:rsidRPr="009C7DD1" w:rsidRDefault="005B4BC1" w:rsidP="000D2448">
      <w:pPr>
        <w:rPr>
          <w:rFonts w:ascii="Arial" w:eastAsia="DengXian Light" w:hAnsi="Arial" w:cs="Arial"/>
          <w:b/>
          <w:lang w:val="en-US"/>
        </w:rPr>
      </w:pPr>
    </w:p>
    <w:p w:rsidR="005B4BC1" w:rsidRPr="009C7DD1" w:rsidRDefault="005B4BC1" w:rsidP="000D2448">
      <w:pPr>
        <w:rPr>
          <w:rFonts w:ascii="Arial" w:eastAsia="DengXian Light" w:hAnsi="Arial" w:cs="Arial"/>
          <w:b/>
          <w:lang w:val="en-US"/>
        </w:rPr>
        <w:sectPr w:rsidR="005B4BC1" w:rsidRPr="009C7DD1" w:rsidSect="00A56F47">
          <w:pgSz w:w="11906" w:h="16838"/>
          <w:pgMar w:top="1440" w:right="1440" w:bottom="1440" w:left="1440" w:header="708" w:footer="708" w:gutter="0"/>
          <w:cols w:space="708"/>
          <w:docGrid w:linePitch="360"/>
        </w:sectPr>
      </w:pPr>
    </w:p>
    <w:p w:rsidR="00A56F47" w:rsidRPr="009C7DD1" w:rsidRDefault="00A56F47" w:rsidP="00A56F47">
      <w:pPr>
        <w:pStyle w:val="Heading3"/>
        <w:rPr>
          <w:rFonts w:ascii="Arial" w:eastAsia="DengXian Light" w:hAnsi="Arial" w:cs="Arial"/>
          <w:b/>
          <w:color w:val="auto"/>
          <w:sz w:val="22"/>
          <w:szCs w:val="22"/>
        </w:rPr>
      </w:pPr>
      <w:bookmarkStart w:id="3" w:name="_Hlk156987821"/>
      <w:r w:rsidRPr="009C7DD1">
        <w:rPr>
          <w:rFonts w:ascii="Arial" w:eastAsia="DengXian Light" w:hAnsi="Arial" w:cs="Arial"/>
          <w:b/>
          <w:color w:val="auto"/>
          <w:sz w:val="22"/>
          <w:szCs w:val="22"/>
        </w:rPr>
        <w:lastRenderedPageBreak/>
        <w:t xml:space="preserve">Supplementary </w:t>
      </w:r>
      <w:r w:rsidR="003D3982" w:rsidRPr="009C7DD1">
        <w:rPr>
          <w:rFonts w:ascii="Arial" w:eastAsia="DengXian Light" w:hAnsi="Arial" w:cs="Arial"/>
          <w:b/>
          <w:color w:val="auto"/>
          <w:sz w:val="22"/>
          <w:szCs w:val="22"/>
        </w:rPr>
        <w:t xml:space="preserve">Fig. </w:t>
      </w:r>
      <w:r w:rsidRPr="009C7DD1">
        <w:rPr>
          <w:rFonts w:ascii="Arial" w:eastAsia="DengXian Light" w:hAnsi="Arial" w:cs="Arial"/>
          <w:b/>
          <w:color w:val="auto"/>
          <w:sz w:val="22"/>
          <w:szCs w:val="22"/>
        </w:rPr>
        <w:t>S1. IPTW-adjusted duration of response</w:t>
      </w:r>
    </w:p>
    <w:bookmarkEnd w:id="3"/>
    <w:p w:rsidR="002B6C47" w:rsidRPr="009C7DD1" w:rsidRDefault="0003647E" w:rsidP="002B6C47">
      <w:pPr>
        <w:spacing w:after="0" w:line="360" w:lineRule="auto"/>
        <w:rPr>
          <w:rFonts w:ascii="Arial" w:hAnsi="Arial" w:cs="Arial"/>
        </w:rPr>
      </w:pPr>
      <w:r w:rsidRPr="009C7DD1">
        <w:rPr>
          <w:rFonts w:ascii="Arial" w:hAnsi="Arial" w:cs="Arial"/>
          <w:noProof/>
          <w:lang w:val="en-US"/>
        </w:rPr>
        <w:drawing>
          <wp:inline distT="0" distB="0" distL="0" distR="0">
            <wp:extent cx="6023920" cy="4457700"/>
            <wp:effectExtent l="0" t="0" r="0" b="0"/>
            <wp:docPr id="1051609876" name="Picture 5" descr="A graph of cancer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09876" name="Picture 5" descr="A graph of cancer patients&#10;&#10;Description automatically generated"/>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38632" cy="4468587"/>
                    </a:xfrm>
                    <a:prstGeom prst="rect">
                      <a:avLst/>
                    </a:prstGeom>
                  </pic:spPr>
                </pic:pic>
              </a:graphicData>
            </a:graphic>
          </wp:inline>
        </w:drawing>
      </w:r>
    </w:p>
    <w:p w:rsidR="00A56F47" w:rsidRPr="00FB277C" w:rsidRDefault="00A56F47" w:rsidP="00405002">
      <w:pPr>
        <w:spacing w:afterLines="60" w:line="360" w:lineRule="auto"/>
        <w:rPr>
          <w:rFonts w:ascii="Arial" w:hAnsi="Arial" w:cs="Arial"/>
          <w:sz w:val="18"/>
          <w:szCs w:val="18"/>
          <w:lang w:val="en-US"/>
        </w:rPr>
      </w:pPr>
      <w:r w:rsidRPr="009C7DD1">
        <w:rPr>
          <w:rFonts w:ascii="Arial" w:hAnsi="Arial" w:cs="Arial"/>
          <w:sz w:val="18"/>
          <w:szCs w:val="18"/>
          <w:lang w:val="en-US"/>
        </w:rPr>
        <w:t>CI, confidence interval; DOR, duration of response; HR, hazard ratio; IPTW, inverse probability of treatment weighting; mo, months; TKI, tyrosine kinase inhibitor.</w:t>
      </w:r>
    </w:p>
    <w:p w:rsidR="00A56F47" w:rsidRPr="009F45F6" w:rsidRDefault="00A56F47" w:rsidP="00A87AC6">
      <w:pPr>
        <w:spacing w:afterLines="60" w:line="480" w:lineRule="auto"/>
        <w:rPr>
          <w:rFonts w:ascii="Arial" w:hAnsi="Arial" w:cs="Arial"/>
          <w:sz w:val="18"/>
          <w:szCs w:val="18"/>
          <w:lang w:val="en-US"/>
        </w:rPr>
      </w:pPr>
    </w:p>
    <w:sectPr w:rsidR="00A56F47" w:rsidRPr="009F45F6" w:rsidSect="00806EF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80C" w:rsidRDefault="0019280C">
      <w:pPr>
        <w:spacing w:after="0" w:line="240" w:lineRule="auto"/>
      </w:pPr>
      <w:r>
        <w:separator/>
      </w:r>
    </w:p>
  </w:endnote>
  <w:endnote w:type="continuationSeparator" w:id="0">
    <w:p w:rsidR="0019280C" w:rsidRDefault="00192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397787305"/>
      <w:docPartObj>
        <w:docPartGallery w:val="Page Numbers (Bottom of Page)"/>
        <w:docPartUnique/>
      </w:docPartObj>
    </w:sdtPr>
    <w:sdtEndPr>
      <w:rPr>
        <w:noProof/>
      </w:rPr>
    </w:sdtEndPr>
    <w:sdtContent>
      <w:p w:rsidR="001072D6" w:rsidRPr="008A5C24" w:rsidRDefault="00A87AC6">
        <w:pPr>
          <w:pStyle w:val="Footer"/>
          <w:jc w:val="center"/>
          <w:rPr>
            <w:rFonts w:ascii="Arial" w:hAnsi="Arial" w:cs="Arial"/>
          </w:rPr>
        </w:pPr>
        <w:r w:rsidRPr="008A5C24">
          <w:rPr>
            <w:rFonts w:ascii="Arial" w:hAnsi="Arial" w:cs="Arial"/>
          </w:rPr>
          <w:fldChar w:fldCharType="begin"/>
        </w:r>
        <w:r w:rsidR="001072D6" w:rsidRPr="008A5C24">
          <w:rPr>
            <w:rFonts w:ascii="Arial" w:hAnsi="Arial" w:cs="Arial"/>
          </w:rPr>
          <w:instrText xml:space="preserve"> PAGE   \* MERGEFORMAT </w:instrText>
        </w:r>
        <w:r w:rsidRPr="008A5C24">
          <w:rPr>
            <w:rFonts w:ascii="Arial" w:hAnsi="Arial" w:cs="Arial"/>
          </w:rPr>
          <w:fldChar w:fldCharType="separate"/>
        </w:r>
        <w:r w:rsidR="00405002">
          <w:rPr>
            <w:rFonts w:ascii="Arial" w:hAnsi="Arial" w:cs="Arial"/>
            <w:noProof/>
          </w:rPr>
          <w:t>5</w:t>
        </w:r>
        <w:r w:rsidRPr="008A5C24">
          <w:rPr>
            <w:rFonts w:ascii="Arial" w:hAnsi="Arial" w:cs="Arial"/>
            <w:noProof/>
          </w:rPr>
          <w:fldChar w:fldCharType="end"/>
        </w:r>
      </w:p>
    </w:sdtContent>
  </w:sdt>
  <w:p w:rsidR="001072D6" w:rsidRPr="008A5C24" w:rsidRDefault="001072D6">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80C" w:rsidRDefault="0019280C">
      <w:pPr>
        <w:spacing w:after="0" w:line="240" w:lineRule="auto"/>
      </w:pPr>
      <w:r>
        <w:separator/>
      </w:r>
    </w:p>
  </w:footnote>
  <w:footnote w:type="continuationSeparator" w:id="0">
    <w:p w:rsidR="0019280C" w:rsidRDefault="00192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D6" w:rsidRPr="0079174C" w:rsidRDefault="000A4C7C" w:rsidP="00405002">
    <w:pPr>
      <w:spacing w:afterLines="60" w:line="480" w:lineRule="auto"/>
      <w:rPr>
        <w:rFonts w:ascii="Arial" w:eastAsia="Calibri" w:hAnsi="Arial" w:cs="Arial"/>
        <w:lang w:val="en-US"/>
      </w:rPr>
    </w:pPr>
    <w:bookmarkStart w:id="1" w:name="_Hlk152757523"/>
    <w:bookmarkStart w:id="2" w:name="_Hlk152757524"/>
    <w:r>
      <w:rPr>
        <w:rFonts w:ascii="Arial" w:eastAsia="Calibri" w:hAnsi="Arial" w:cs="Arial"/>
        <w:lang w:val="en-US"/>
      </w:rPr>
      <w:t>Cabozantinib after CPI-based therapy for mRCC</w:t>
    </w:r>
    <w:r>
      <w:rPr>
        <w:rFonts w:ascii="Arial" w:eastAsia="Calibri" w:hAnsi="Arial" w:cs="Arial"/>
        <w:lang w:val="en-US"/>
      </w:rPr>
      <w:tab/>
    </w:r>
    <w:r>
      <w:rPr>
        <w:rFonts w:ascii="Arial" w:eastAsia="Calibri" w:hAnsi="Arial" w:cs="Arial"/>
        <w:lang w:val="en-US"/>
      </w:rPr>
      <w:tab/>
    </w:r>
    <w:r w:rsidR="001072D6">
      <w:rPr>
        <w:rFonts w:ascii="Arial" w:eastAsia="Calibri" w:hAnsi="Arial" w:cs="Arial"/>
        <w:lang w:val="en-US"/>
      </w:rPr>
      <w:tab/>
    </w:r>
    <w:r w:rsidR="001072D6">
      <w:rPr>
        <w:rFonts w:ascii="Arial" w:eastAsia="Calibri" w:hAnsi="Arial" w:cs="Arial"/>
        <w:lang w:val="en-US"/>
      </w:rPr>
      <w:tab/>
    </w:r>
    <w:r w:rsidR="00A87AC6">
      <w:rPr>
        <w:rFonts w:ascii="Arial" w:hAnsi="Arial" w:cs="Arial"/>
        <w:szCs w:val="28"/>
      </w:rPr>
      <w:fldChar w:fldCharType="begin"/>
    </w:r>
    <w:r w:rsidR="001072D6">
      <w:rPr>
        <w:rFonts w:ascii="Arial" w:hAnsi="Arial" w:cs="Arial"/>
        <w:szCs w:val="28"/>
      </w:rPr>
      <w:instrText xml:space="preserve"> DATE \@ "d MMMM yyyy" </w:instrText>
    </w:r>
    <w:r w:rsidR="00A87AC6">
      <w:rPr>
        <w:rFonts w:ascii="Arial" w:hAnsi="Arial" w:cs="Arial"/>
        <w:szCs w:val="28"/>
      </w:rPr>
      <w:fldChar w:fldCharType="separate"/>
    </w:r>
    <w:r w:rsidR="00405002">
      <w:rPr>
        <w:rFonts w:ascii="Arial" w:hAnsi="Arial" w:cs="Arial"/>
        <w:noProof/>
        <w:szCs w:val="28"/>
      </w:rPr>
      <w:t>1 August 2024</w:t>
    </w:r>
    <w:r w:rsidR="00A87AC6">
      <w:rPr>
        <w:rFonts w:ascii="Arial" w:hAnsi="Arial" w:cs="Arial"/>
        <w:szCs w:val="28"/>
      </w:rPr>
      <w:fldChar w:fldCharType="end"/>
    </w:r>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315"/>
    <w:multiLevelType w:val="multilevel"/>
    <w:tmpl w:val="EFE2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95B11"/>
    <w:multiLevelType w:val="hybridMultilevel"/>
    <w:tmpl w:val="D28CF5EC"/>
    <w:lvl w:ilvl="0" w:tplc="08090001">
      <w:start w:val="1"/>
      <w:numFmt w:val="bullet"/>
      <w:lvlText w:val=""/>
      <w:lvlJc w:val="left"/>
      <w:pPr>
        <w:ind w:left="360" w:hanging="360"/>
      </w:pPr>
      <w:rPr>
        <w:rFonts w:ascii="Symbol" w:hAnsi="Symbol" w:cs="Symbol" w:hint="default"/>
      </w:rPr>
    </w:lvl>
    <w:lvl w:ilvl="1" w:tplc="14EE5F8E">
      <w:start w:val="1"/>
      <w:numFmt w:val="bullet"/>
      <w:lvlText w:val="–"/>
      <w:lvlJc w:val="left"/>
      <w:pPr>
        <w:ind w:left="1080" w:hanging="360"/>
      </w:pPr>
      <w:rPr>
        <w:rFonts w:ascii="Arial"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241DF5"/>
    <w:multiLevelType w:val="hybridMultilevel"/>
    <w:tmpl w:val="34A0461C"/>
    <w:lvl w:ilvl="0" w:tplc="FB5E0E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D70DC"/>
    <w:multiLevelType w:val="hybridMultilevel"/>
    <w:tmpl w:val="428ED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7D64C7"/>
    <w:multiLevelType w:val="hybridMultilevel"/>
    <w:tmpl w:val="D6AE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C04565"/>
    <w:multiLevelType w:val="hybridMultilevel"/>
    <w:tmpl w:val="E3B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767D8"/>
    <w:multiLevelType w:val="hybridMultilevel"/>
    <w:tmpl w:val="387E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D35A8E"/>
    <w:multiLevelType w:val="hybridMultilevel"/>
    <w:tmpl w:val="26864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554B29"/>
    <w:multiLevelType w:val="hybridMultilevel"/>
    <w:tmpl w:val="7570C364"/>
    <w:lvl w:ilvl="0" w:tplc="273A52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F3274A"/>
    <w:multiLevelType w:val="hybridMultilevel"/>
    <w:tmpl w:val="E862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4550B8"/>
    <w:multiLevelType w:val="hybridMultilevel"/>
    <w:tmpl w:val="D09A2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9C67B25"/>
    <w:multiLevelType w:val="multilevel"/>
    <w:tmpl w:val="00BA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FD458E"/>
    <w:multiLevelType w:val="hybridMultilevel"/>
    <w:tmpl w:val="4AA866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9D3D44"/>
    <w:multiLevelType w:val="hybridMultilevel"/>
    <w:tmpl w:val="3BC66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6C1DB1"/>
    <w:multiLevelType w:val="hybridMultilevel"/>
    <w:tmpl w:val="99503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2144CB"/>
    <w:multiLevelType w:val="hybridMultilevel"/>
    <w:tmpl w:val="E7ECD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F735FF"/>
    <w:multiLevelType w:val="hybridMultilevel"/>
    <w:tmpl w:val="F2CAA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1D61BEF"/>
    <w:multiLevelType w:val="hybridMultilevel"/>
    <w:tmpl w:val="B6D6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BD2990"/>
    <w:multiLevelType w:val="multilevel"/>
    <w:tmpl w:val="5CC0B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5EC6B26"/>
    <w:multiLevelType w:val="hybridMultilevel"/>
    <w:tmpl w:val="C3529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A87BCE"/>
    <w:multiLevelType w:val="hybridMultilevel"/>
    <w:tmpl w:val="DF0A4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992D47"/>
    <w:multiLevelType w:val="hybridMultilevel"/>
    <w:tmpl w:val="90E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A21D18"/>
    <w:multiLevelType w:val="hybridMultilevel"/>
    <w:tmpl w:val="AFCA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642CD"/>
    <w:multiLevelType w:val="hybridMultilevel"/>
    <w:tmpl w:val="5818170A"/>
    <w:lvl w:ilvl="0" w:tplc="75FCBD9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F333DF2"/>
    <w:multiLevelType w:val="hybridMultilevel"/>
    <w:tmpl w:val="F49A4A44"/>
    <w:lvl w:ilvl="0" w:tplc="A5C61602">
      <w:start w:val="19"/>
      <w:numFmt w:val="bullet"/>
      <w:lvlText w:val=""/>
      <w:lvlJc w:val="left"/>
      <w:pPr>
        <w:ind w:left="360" w:hanging="360"/>
      </w:pPr>
      <w:rPr>
        <w:rFonts w:ascii="Symbol" w:hAnsi="Symbol" w:cstheme="minorBid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2EF0B67"/>
    <w:multiLevelType w:val="hybridMultilevel"/>
    <w:tmpl w:val="55D8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7135D6"/>
    <w:multiLevelType w:val="hybridMultilevel"/>
    <w:tmpl w:val="0F86D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928565F"/>
    <w:multiLevelType w:val="multilevel"/>
    <w:tmpl w:val="945C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9D4C5C"/>
    <w:multiLevelType w:val="hybridMultilevel"/>
    <w:tmpl w:val="3E2EB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27040A"/>
    <w:multiLevelType w:val="hybridMultilevel"/>
    <w:tmpl w:val="BF84E31A"/>
    <w:lvl w:ilvl="0" w:tplc="AC129E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E2471A"/>
    <w:multiLevelType w:val="hybridMultilevel"/>
    <w:tmpl w:val="CA7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A97B68"/>
    <w:multiLevelType w:val="hybridMultilevel"/>
    <w:tmpl w:val="5E30E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DB14F0"/>
    <w:multiLevelType w:val="hybridMultilevel"/>
    <w:tmpl w:val="C384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4F20FE4"/>
    <w:multiLevelType w:val="hybridMultilevel"/>
    <w:tmpl w:val="8EEC82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001828"/>
    <w:multiLevelType w:val="hybridMultilevel"/>
    <w:tmpl w:val="EAF0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175727"/>
    <w:multiLevelType w:val="hybridMultilevel"/>
    <w:tmpl w:val="BF54939E"/>
    <w:lvl w:ilvl="0" w:tplc="E15069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1C501CA"/>
    <w:multiLevelType w:val="hybridMultilevel"/>
    <w:tmpl w:val="926EE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55A6F1F"/>
    <w:multiLevelType w:val="multilevel"/>
    <w:tmpl w:val="8670FB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8F26AD0"/>
    <w:multiLevelType w:val="multilevel"/>
    <w:tmpl w:val="F7A6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90E7E84"/>
    <w:multiLevelType w:val="hybridMultilevel"/>
    <w:tmpl w:val="CB6C80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F8E75F2"/>
    <w:multiLevelType w:val="hybridMultilevel"/>
    <w:tmpl w:val="590A491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1E708B5"/>
    <w:multiLevelType w:val="hybridMultilevel"/>
    <w:tmpl w:val="B3740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A320C1"/>
    <w:multiLevelType w:val="hybridMultilevel"/>
    <w:tmpl w:val="3C003A72"/>
    <w:lvl w:ilvl="0" w:tplc="D1B840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C07184"/>
    <w:multiLevelType w:val="hybridMultilevel"/>
    <w:tmpl w:val="763E8E72"/>
    <w:lvl w:ilvl="0" w:tplc="1F288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F16D88"/>
    <w:multiLevelType w:val="hybridMultilevel"/>
    <w:tmpl w:val="7C6A8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A804FDB"/>
    <w:multiLevelType w:val="hybridMultilevel"/>
    <w:tmpl w:val="8838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B2639E7"/>
    <w:multiLevelType w:val="multilevel"/>
    <w:tmpl w:val="389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D150B7"/>
    <w:multiLevelType w:val="hybridMultilevel"/>
    <w:tmpl w:val="93105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F52714"/>
    <w:multiLevelType w:val="hybridMultilevel"/>
    <w:tmpl w:val="EA9E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47"/>
  </w:num>
  <w:num w:numId="4">
    <w:abstractNumId w:val="20"/>
  </w:num>
  <w:num w:numId="5">
    <w:abstractNumId w:val="25"/>
  </w:num>
  <w:num w:numId="6">
    <w:abstractNumId w:val="12"/>
  </w:num>
  <w:num w:numId="7">
    <w:abstractNumId w:val="35"/>
  </w:num>
  <w:num w:numId="8">
    <w:abstractNumId w:val="43"/>
  </w:num>
  <w:num w:numId="9">
    <w:abstractNumId w:val="3"/>
  </w:num>
  <w:num w:numId="10">
    <w:abstractNumId w:val="33"/>
  </w:num>
  <w:num w:numId="11">
    <w:abstractNumId w:val="7"/>
  </w:num>
  <w:num w:numId="12">
    <w:abstractNumId w:val="1"/>
  </w:num>
  <w:num w:numId="13">
    <w:abstractNumId w:val="13"/>
  </w:num>
  <w:num w:numId="14">
    <w:abstractNumId w:val="21"/>
  </w:num>
  <w:num w:numId="15">
    <w:abstractNumId w:val="6"/>
  </w:num>
  <w:num w:numId="16">
    <w:abstractNumId w:val="34"/>
  </w:num>
  <w:num w:numId="17">
    <w:abstractNumId w:val="44"/>
  </w:num>
  <w:num w:numId="18">
    <w:abstractNumId w:val="17"/>
  </w:num>
  <w:num w:numId="19">
    <w:abstractNumId w:val="14"/>
  </w:num>
  <w:num w:numId="20">
    <w:abstractNumId w:val="2"/>
  </w:num>
  <w:num w:numId="21">
    <w:abstractNumId w:val="19"/>
  </w:num>
  <w:num w:numId="22">
    <w:abstractNumId w:val="41"/>
  </w:num>
  <w:num w:numId="23">
    <w:abstractNumId w:val="30"/>
  </w:num>
  <w:num w:numId="24">
    <w:abstractNumId w:val="22"/>
  </w:num>
  <w:num w:numId="25">
    <w:abstractNumId w:val="28"/>
  </w:num>
  <w:num w:numId="26">
    <w:abstractNumId w:val="5"/>
  </w:num>
  <w:num w:numId="27">
    <w:abstractNumId w:val="31"/>
  </w:num>
  <w:num w:numId="28">
    <w:abstractNumId w:val="18"/>
  </w:num>
  <w:num w:numId="29">
    <w:abstractNumId w:val="46"/>
  </w:num>
  <w:num w:numId="30">
    <w:abstractNumId w:val="23"/>
  </w:num>
  <w:num w:numId="31">
    <w:abstractNumId w:val="39"/>
  </w:num>
  <w:num w:numId="32">
    <w:abstractNumId w:val="24"/>
  </w:num>
  <w:num w:numId="33">
    <w:abstractNumId w:val="48"/>
  </w:num>
  <w:num w:numId="34">
    <w:abstractNumId w:val="29"/>
  </w:num>
  <w:num w:numId="35">
    <w:abstractNumId w:val="9"/>
  </w:num>
  <w:num w:numId="36">
    <w:abstractNumId w:val="16"/>
  </w:num>
  <w:num w:numId="37">
    <w:abstractNumId w:val="45"/>
  </w:num>
  <w:num w:numId="38">
    <w:abstractNumId w:val="10"/>
  </w:num>
  <w:num w:numId="39">
    <w:abstractNumId w:val="8"/>
  </w:num>
  <w:num w:numId="40">
    <w:abstractNumId w:val="42"/>
  </w:num>
  <w:num w:numId="41">
    <w:abstractNumId w:val="0"/>
  </w:num>
  <w:num w:numId="42">
    <w:abstractNumId w:val="38"/>
  </w:num>
  <w:num w:numId="43">
    <w:abstractNumId w:val="27"/>
  </w:num>
  <w:num w:numId="44">
    <w:abstractNumId w:val="11"/>
  </w:num>
  <w:num w:numId="45">
    <w:abstractNumId w:val="37"/>
  </w:num>
  <w:num w:numId="46">
    <w:abstractNumId w:val="26"/>
  </w:num>
  <w:num w:numId="47">
    <w:abstractNumId w:val="40"/>
  </w:num>
  <w:num w:numId="48">
    <w:abstractNumId w:val="32"/>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defaultTabStop w:val="720"/>
  <w:characterSpacingControl w:val="doNotCompress"/>
  <w:hdrShapeDefaults>
    <o:shapedefaults v:ext="edit" spidmax="205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Vancouver (IPRC172)&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xtwrepx8zdwwaefex3pavzr2zd9paxvsvsa&quot;&gt;IPRC158 McKesson Manuscript&lt;record-ids&gt;&lt;item&gt;1&lt;/item&gt;&lt;item&gt;2&lt;/item&gt;&lt;item&gt;3&lt;/item&gt;&lt;item&gt;5&lt;/item&gt;&lt;item&gt;6&lt;/item&gt;&lt;item&gt;10&lt;/item&gt;&lt;item&gt;11&lt;/item&gt;&lt;item&gt;12&lt;/item&gt;&lt;item&gt;14&lt;/item&gt;&lt;item&gt;15&lt;/item&gt;&lt;item&gt;16&lt;/item&gt;&lt;item&gt;18&lt;/item&gt;&lt;item&gt;19&lt;/item&gt;&lt;item&gt;20&lt;/item&gt;&lt;item&gt;21&lt;/item&gt;&lt;item&gt;22&lt;/item&gt;&lt;item&gt;23&lt;/item&gt;&lt;item&gt;24&lt;/item&gt;&lt;item&gt;25&lt;/item&gt;&lt;item&gt;26&lt;/item&gt;&lt;item&gt;27&lt;/item&gt;&lt;item&gt;29&lt;/item&gt;&lt;item&gt;30&lt;/item&gt;&lt;item&gt;32&lt;/item&gt;&lt;item&gt;33&lt;/item&gt;&lt;item&gt;34&lt;/item&gt;&lt;item&gt;35&lt;/item&gt;&lt;item&gt;36&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record-ids&gt;&lt;/item&gt;&lt;/Libraries&gt;"/>
  </w:docVars>
  <w:rsids>
    <w:rsidRoot w:val="001072D6"/>
    <w:rsid w:val="000048ED"/>
    <w:rsid w:val="00006B0C"/>
    <w:rsid w:val="000111F6"/>
    <w:rsid w:val="0001131B"/>
    <w:rsid w:val="000219A3"/>
    <w:rsid w:val="00024AB2"/>
    <w:rsid w:val="00032A1B"/>
    <w:rsid w:val="000353E2"/>
    <w:rsid w:val="0003647E"/>
    <w:rsid w:val="0008532C"/>
    <w:rsid w:val="000901B0"/>
    <w:rsid w:val="00090CA3"/>
    <w:rsid w:val="00090F71"/>
    <w:rsid w:val="0009442B"/>
    <w:rsid w:val="00095AFA"/>
    <w:rsid w:val="000A4430"/>
    <w:rsid w:val="000A4C7C"/>
    <w:rsid w:val="000A76BB"/>
    <w:rsid w:val="000A7E79"/>
    <w:rsid w:val="000B60B0"/>
    <w:rsid w:val="000C5161"/>
    <w:rsid w:val="000C68C8"/>
    <w:rsid w:val="000C6F11"/>
    <w:rsid w:val="000D2448"/>
    <w:rsid w:val="000D4DAB"/>
    <w:rsid w:val="000D7C5E"/>
    <w:rsid w:val="000E7418"/>
    <w:rsid w:val="000E7A15"/>
    <w:rsid w:val="00104006"/>
    <w:rsid w:val="001053C8"/>
    <w:rsid w:val="001072D6"/>
    <w:rsid w:val="00126579"/>
    <w:rsid w:val="00132C79"/>
    <w:rsid w:val="00141531"/>
    <w:rsid w:val="001419EB"/>
    <w:rsid w:val="001437CA"/>
    <w:rsid w:val="0016079B"/>
    <w:rsid w:val="00160F59"/>
    <w:rsid w:val="0019280C"/>
    <w:rsid w:val="00192F00"/>
    <w:rsid w:val="001A19F4"/>
    <w:rsid w:val="001B2DC8"/>
    <w:rsid w:val="001D1562"/>
    <w:rsid w:val="001E1076"/>
    <w:rsid w:val="001E6EB7"/>
    <w:rsid w:val="001F7221"/>
    <w:rsid w:val="001F7663"/>
    <w:rsid w:val="00205957"/>
    <w:rsid w:val="00206793"/>
    <w:rsid w:val="0020699A"/>
    <w:rsid w:val="00217FC9"/>
    <w:rsid w:val="00231BC0"/>
    <w:rsid w:val="0026394A"/>
    <w:rsid w:val="00274B2F"/>
    <w:rsid w:val="00277B89"/>
    <w:rsid w:val="00282B1F"/>
    <w:rsid w:val="00285674"/>
    <w:rsid w:val="00285747"/>
    <w:rsid w:val="00291728"/>
    <w:rsid w:val="002953C5"/>
    <w:rsid w:val="0029577D"/>
    <w:rsid w:val="002A2A9F"/>
    <w:rsid w:val="002A3316"/>
    <w:rsid w:val="002A35BF"/>
    <w:rsid w:val="002B1F3A"/>
    <w:rsid w:val="002B2943"/>
    <w:rsid w:val="002B368E"/>
    <w:rsid w:val="002B6C47"/>
    <w:rsid w:val="002B6D85"/>
    <w:rsid w:val="002C2A5F"/>
    <w:rsid w:val="002C2BE7"/>
    <w:rsid w:val="002D3801"/>
    <w:rsid w:val="002D4627"/>
    <w:rsid w:val="002F161B"/>
    <w:rsid w:val="002F4666"/>
    <w:rsid w:val="002F4FC3"/>
    <w:rsid w:val="0031256B"/>
    <w:rsid w:val="00320127"/>
    <w:rsid w:val="00325E5B"/>
    <w:rsid w:val="00327414"/>
    <w:rsid w:val="00330552"/>
    <w:rsid w:val="00345D1B"/>
    <w:rsid w:val="0035174E"/>
    <w:rsid w:val="00354039"/>
    <w:rsid w:val="00357C8D"/>
    <w:rsid w:val="00364EDD"/>
    <w:rsid w:val="00365882"/>
    <w:rsid w:val="00371FB6"/>
    <w:rsid w:val="00381AD3"/>
    <w:rsid w:val="00386F54"/>
    <w:rsid w:val="00395D34"/>
    <w:rsid w:val="003A020B"/>
    <w:rsid w:val="003A38BA"/>
    <w:rsid w:val="003B03E8"/>
    <w:rsid w:val="003B6A6C"/>
    <w:rsid w:val="003C4A81"/>
    <w:rsid w:val="003D3982"/>
    <w:rsid w:val="003D4B5E"/>
    <w:rsid w:val="003E19F8"/>
    <w:rsid w:val="003E6484"/>
    <w:rsid w:val="003F3860"/>
    <w:rsid w:val="00405002"/>
    <w:rsid w:val="00421F3A"/>
    <w:rsid w:val="004308F4"/>
    <w:rsid w:val="00431AFB"/>
    <w:rsid w:val="0045412F"/>
    <w:rsid w:val="00454E00"/>
    <w:rsid w:val="00467F95"/>
    <w:rsid w:val="00480782"/>
    <w:rsid w:val="004912EB"/>
    <w:rsid w:val="004953AF"/>
    <w:rsid w:val="004A16EA"/>
    <w:rsid w:val="004B3509"/>
    <w:rsid w:val="004B6727"/>
    <w:rsid w:val="004C09AA"/>
    <w:rsid w:val="004D1C22"/>
    <w:rsid w:val="004D68AA"/>
    <w:rsid w:val="004E074C"/>
    <w:rsid w:val="004E2D65"/>
    <w:rsid w:val="004E4709"/>
    <w:rsid w:val="00502255"/>
    <w:rsid w:val="005048A9"/>
    <w:rsid w:val="00505428"/>
    <w:rsid w:val="0051656A"/>
    <w:rsid w:val="005220FD"/>
    <w:rsid w:val="00530C19"/>
    <w:rsid w:val="0053560F"/>
    <w:rsid w:val="00565850"/>
    <w:rsid w:val="00567235"/>
    <w:rsid w:val="00572D62"/>
    <w:rsid w:val="00574ADA"/>
    <w:rsid w:val="00577E99"/>
    <w:rsid w:val="005846B3"/>
    <w:rsid w:val="005929FB"/>
    <w:rsid w:val="00597705"/>
    <w:rsid w:val="005A3D01"/>
    <w:rsid w:val="005B3336"/>
    <w:rsid w:val="005B4BC1"/>
    <w:rsid w:val="005C4822"/>
    <w:rsid w:val="005D0F4A"/>
    <w:rsid w:val="005D46A7"/>
    <w:rsid w:val="005D5B11"/>
    <w:rsid w:val="005E32A3"/>
    <w:rsid w:val="005E628F"/>
    <w:rsid w:val="005E692B"/>
    <w:rsid w:val="005F1CE5"/>
    <w:rsid w:val="00605E16"/>
    <w:rsid w:val="006130BA"/>
    <w:rsid w:val="006135CA"/>
    <w:rsid w:val="00613BA7"/>
    <w:rsid w:val="0061536A"/>
    <w:rsid w:val="0061629C"/>
    <w:rsid w:val="00617988"/>
    <w:rsid w:val="00630D90"/>
    <w:rsid w:val="00633D6F"/>
    <w:rsid w:val="00636D4D"/>
    <w:rsid w:val="006626E7"/>
    <w:rsid w:val="00671EB5"/>
    <w:rsid w:val="00677384"/>
    <w:rsid w:val="0068218F"/>
    <w:rsid w:val="00694765"/>
    <w:rsid w:val="006A0B62"/>
    <w:rsid w:val="006C63F7"/>
    <w:rsid w:val="006C6967"/>
    <w:rsid w:val="006C6ED2"/>
    <w:rsid w:val="006E0C8C"/>
    <w:rsid w:val="006F01A5"/>
    <w:rsid w:val="006F533E"/>
    <w:rsid w:val="00702A5F"/>
    <w:rsid w:val="00704919"/>
    <w:rsid w:val="00710012"/>
    <w:rsid w:val="00710298"/>
    <w:rsid w:val="00711A97"/>
    <w:rsid w:val="00745445"/>
    <w:rsid w:val="0074662A"/>
    <w:rsid w:val="007518C0"/>
    <w:rsid w:val="007518E0"/>
    <w:rsid w:val="00753CF6"/>
    <w:rsid w:val="007637DF"/>
    <w:rsid w:val="00765151"/>
    <w:rsid w:val="00775E69"/>
    <w:rsid w:val="0077742E"/>
    <w:rsid w:val="00790E79"/>
    <w:rsid w:val="00791944"/>
    <w:rsid w:val="007A34AF"/>
    <w:rsid w:val="007A6E0D"/>
    <w:rsid w:val="007B159C"/>
    <w:rsid w:val="007B6613"/>
    <w:rsid w:val="007D46B4"/>
    <w:rsid w:val="007D66A3"/>
    <w:rsid w:val="007E5FA8"/>
    <w:rsid w:val="007F19D2"/>
    <w:rsid w:val="007F6BDA"/>
    <w:rsid w:val="00806EF3"/>
    <w:rsid w:val="00811AFA"/>
    <w:rsid w:val="0082358A"/>
    <w:rsid w:val="00826398"/>
    <w:rsid w:val="008305DC"/>
    <w:rsid w:val="00830FB2"/>
    <w:rsid w:val="008401AC"/>
    <w:rsid w:val="008458FD"/>
    <w:rsid w:val="00871AE4"/>
    <w:rsid w:val="00873952"/>
    <w:rsid w:val="008760CC"/>
    <w:rsid w:val="00880983"/>
    <w:rsid w:val="00883D72"/>
    <w:rsid w:val="0088741F"/>
    <w:rsid w:val="008912BB"/>
    <w:rsid w:val="00891736"/>
    <w:rsid w:val="008B357B"/>
    <w:rsid w:val="008C07CE"/>
    <w:rsid w:val="008C43FA"/>
    <w:rsid w:val="008C5C2F"/>
    <w:rsid w:val="008D21C9"/>
    <w:rsid w:val="008D39CB"/>
    <w:rsid w:val="008F4E12"/>
    <w:rsid w:val="00903A14"/>
    <w:rsid w:val="00917950"/>
    <w:rsid w:val="0092599F"/>
    <w:rsid w:val="009268F7"/>
    <w:rsid w:val="009424BA"/>
    <w:rsid w:val="00945B9A"/>
    <w:rsid w:val="0094647D"/>
    <w:rsid w:val="00960B52"/>
    <w:rsid w:val="00961868"/>
    <w:rsid w:val="00962BB4"/>
    <w:rsid w:val="009639C1"/>
    <w:rsid w:val="00987A4F"/>
    <w:rsid w:val="00990CBF"/>
    <w:rsid w:val="009A07ED"/>
    <w:rsid w:val="009A3098"/>
    <w:rsid w:val="009B0145"/>
    <w:rsid w:val="009B783E"/>
    <w:rsid w:val="009C5A4E"/>
    <w:rsid w:val="009C77E1"/>
    <w:rsid w:val="009C7DD1"/>
    <w:rsid w:val="009D2E47"/>
    <w:rsid w:val="009D33EE"/>
    <w:rsid w:val="009D47C4"/>
    <w:rsid w:val="009D6897"/>
    <w:rsid w:val="009D7F42"/>
    <w:rsid w:val="009E035D"/>
    <w:rsid w:val="009E03D3"/>
    <w:rsid w:val="009E7566"/>
    <w:rsid w:val="00A046D8"/>
    <w:rsid w:val="00A06B78"/>
    <w:rsid w:val="00A10193"/>
    <w:rsid w:val="00A32CF7"/>
    <w:rsid w:val="00A335B2"/>
    <w:rsid w:val="00A34E85"/>
    <w:rsid w:val="00A35C96"/>
    <w:rsid w:val="00A4746C"/>
    <w:rsid w:val="00A56F47"/>
    <w:rsid w:val="00A80348"/>
    <w:rsid w:val="00A84D9A"/>
    <w:rsid w:val="00A84FDA"/>
    <w:rsid w:val="00A87AC6"/>
    <w:rsid w:val="00A93ED1"/>
    <w:rsid w:val="00A947EF"/>
    <w:rsid w:val="00A952E5"/>
    <w:rsid w:val="00AB7FD2"/>
    <w:rsid w:val="00AC4459"/>
    <w:rsid w:val="00AF5429"/>
    <w:rsid w:val="00B24BD2"/>
    <w:rsid w:val="00B32C3D"/>
    <w:rsid w:val="00B378F0"/>
    <w:rsid w:val="00B4545A"/>
    <w:rsid w:val="00B51AF0"/>
    <w:rsid w:val="00B6261C"/>
    <w:rsid w:val="00B6658B"/>
    <w:rsid w:val="00B73454"/>
    <w:rsid w:val="00B86C09"/>
    <w:rsid w:val="00B8791D"/>
    <w:rsid w:val="00B87B32"/>
    <w:rsid w:val="00BA6D99"/>
    <w:rsid w:val="00BA7A01"/>
    <w:rsid w:val="00BC0099"/>
    <w:rsid w:val="00BC2935"/>
    <w:rsid w:val="00BD7DA6"/>
    <w:rsid w:val="00BE5CFF"/>
    <w:rsid w:val="00BF5ABF"/>
    <w:rsid w:val="00C0036F"/>
    <w:rsid w:val="00C05D72"/>
    <w:rsid w:val="00C1091D"/>
    <w:rsid w:val="00C13051"/>
    <w:rsid w:val="00C242D1"/>
    <w:rsid w:val="00C33EEB"/>
    <w:rsid w:val="00C42168"/>
    <w:rsid w:val="00C44AD2"/>
    <w:rsid w:val="00C45B5E"/>
    <w:rsid w:val="00C4727C"/>
    <w:rsid w:val="00C526D5"/>
    <w:rsid w:val="00C61ACA"/>
    <w:rsid w:val="00C625DD"/>
    <w:rsid w:val="00C63F10"/>
    <w:rsid w:val="00C827BD"/>
    <w:rsid w:val="00C82C5C"/>
    <w:rsid w:val="00CB03F6"/>
    <w:rsid w:val="00CB2523"/>
    <w:rsid w:val="00CB266A"/>
    <w:rsid w:val="00CB42B3"/>
    <w:rsid w:val="00CB5F02"/>
    <w:rsid w:val="00CE01C1"/>
    <w:rsid w:val="00CE7B0F"/>
    <w:rsid w:val="00CF0A33"/>
    <w:rsid w:val="00CF173C"/>
    <w:rsid w:val="00CF2745"/>
    <w:rsid w:val="00D0170E"/>
    <w:rsid w:val="00D06425"/>
    <w:rsid w:val="00D13AE5"/>
    <w:rsid w:val="00D176C0"/>
    <w:rsid w:val="00D2195B"/>
    <w:rsid w:val="00D277F2"/>
    <w:rsid w:val="00D32E81"/>
    <w:rsid w:val="00D3393A"/>
    <w:rsid w:val="00D378F2"/>
    <w:rsid w:val="00D5270B"/>
    <w:rsid w:val="00D5429F"/>
    <w:rsid w:val="00D556F4"/>
    <w:rsid w:val="00D669EA"/>
    <w:rsid w:val="00D6758C"/>
    <w:rsid w:val="00D77713"/>
    <w:rsid w:val="00D80A28"/>
    <w:rsid w:val="00D822CA"/>
    <w:rsid w:val="00D850E8"/>
    <w:rsid w:val="00D90B35"/>
    <w:rsid w:val="00DA3234"/>
    <w:rsid w:val="00DA5B8E"/>
    <w:rsid w:val="00DC6B68"/>
    <w:rsid w:val="00DC7C41"/>
    <w:rsid w:val="00DD1332"/>
    <w:rsid w:val="00DE22A2"/>
    <w:rsid w:val="00DF5917"/>
    <w:rsid w:val="00E00A18"/>
    <w:rsid w:val="00E05545"/>
    <w:rsid w:val="00E07963"/>
    <w:rsid w:val="00E11A7D"/>
    <w:rsid w:val="00E26A92"/>
    <w:rsid w:val="00E4294E"/>
    <w:rsid w:val="00E45102"/>
    <w:rsid w:val="00E51D0E"/>
    <w:rsid w:val="00E55273"/>
    <w:rsid w:val="00E55A66"/>
    <w:rsid w:val="00E60CD5"/>
    <w:rsid w:val="00E77534"/>
    <w:rsid w:val="00E91AD4"/>
    <w:rsid w:val="00EA7BE5"/>
    <w:rsid w:val="00EB2288"/>
    <w:rsid w:val="00EC3756"/>
    <w:rsid w:val="00EC3D17"/>
    <w:rsid w:val="00EC6684"/>
    <w:rsid w:val="00ED263B"/>
    <w:rsid w:val="00ED5ABF"/>
    <w:rsid w:val="00ED72EF"/>
    <w:rsid w:val="00EE6626"/>
    <w:rsid w:val="00EF1561"/>
    <w:rsid w:val="00EF4ADF"/>
    <w:rsid w:val="00EF7B95"/>
    <w:rsid w:val="00F00DD5"/>
    <w:rsid w:val="00F05F10"/>
    <w:rsid w:val="00F21290"/>
    <w:rsid w:val="00F24924"/>
    <w:rsid w:val="00F73B3D"/>
    <w:rsid w:val="00F909E4"/>
    <w:rsid w:val="00F94760"/>
    <w:rsid w:val="00FB277C"/>
    <w:rsid w:val="00FB659B"/>
    <w:rsid w:val="00FB6FF5"/>
    <w:rsid w:val="00FC501C"/>
    <w:rsid w:val="00FD10A9"/>
    <w:rsid w:val="00FD12DE"/>
    <w:rsid w:val="00FD5E6D"/>
    <w:rsid w:val="00FE379F"/>
    <w:rsid w:val="00FE6460"/>
    <w:rsid w:val="00FF0585"/>
    <w:rsid w:val="00FF0C46"/>
    <w:rsid w:val="00FF0D59"/>
    <w:rsid w:val="00FF19FB"/>
    <w:rsid w:val="00FF71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F59"/>
    <w:pPr>
      <w:spacing w:after="200" w:line="276" w:lineRule="auto"/>
    </w:pPr>
    <w:rPr>
      <w:kern w:val="0"/>
    </w:rPr>
  </w:style>
  <w:style w:type="paragraph" w:styleId="Heading1">
    <w:name w:val="heading 1"/>
    <w:basedOn w:val="Normal"/>
    <w:next w:val="Normal"/>
    <w:link w:val="Heading1Char"/>
    <w:uiPriority w:val="9"/>
    <w:qFormat/>
    <w:rsid w:val="001072D6"/>
    <w:pPr>
      <w:keepNext/>
      <w:keepLines/>
      <w:spacing w:before="120" w:after="0" w:line="480" w:lineRule="auto"/>
      <w:outlineLvl w:val="0"/>
    </w:pPr>
    <w:rPr>
      <w:rFonts w:ascii="Arial" w:eastAsiaTheme="majorEastAsia" w:hAnsi="Arial" w:cs="Arial"/>
      <w:b/>
      <w:sz w:val="24"/>
      <w:szCs w:val="24"/>
      <w:lang w:val="en-US"/>
    </w:rPr>
  </w:style>
  <w:style w:type="paragraph" w:styleId="Heading2">
    <w:name w:val="heading 2"/>
    <w:basedOn w:val="Normal"/>
    <w:next w:val="Normal"/>
    <w:link w:val="Heading2Char"/>
    <w:uiPriority w:val="9"/>
    <w:unhideWhenUsed/>
    <w:qFormat/>
    <w:rsid w:val="001072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72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072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072D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72D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D6"/>
    <w:rPr>
      <w:rFonts w:ascii="Arial" w:eastAsiaTheme="majorEastAsia" w:hAnsi="Arial" w:cs="Arial"/>
      <w:b/>
      <w:kern w:val="0"/>
      <w:sz w:val="24"/>
      <w:szCs w:val="24"/>
      <w:lang w:val="en-US"/>
    </w:rPr>
  </w:style>
  <w:style w:type="character" w:customStyle="1" w:styleId="Heading2Char">
    <w:name w:val="Heading 2 Char"/>
    <w:basedOn w:val="DefaultParagraphFont"/>
    <w:link w:val="Heading2"/>
    <w:uiPriority w:val="9"/>
    <w:rsid w:val="001072D6"/>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1072D6"/>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1072D6"/>
    <w:rPr>
      <w:rFonts w:asciiTheme="majorHAnsi" w:eastAsiaTheme="majorEastAsia" w:hAnsiTheme="majorHAnsi" w:cstheme="majorBidi"/>
      <w:i/>
      <w:iCs/>
      <w:color w:val="2F5496" w:themeColor="accent1" w:themeShade="BF"/>
      <w:kern w:val="0"/>
    </w:rPr>
  </w:style>
  <w:style w:type="character" w:customStyle="1" w:styleId="Heading5Char">
    <w:name w:val="Heading 5 Char"/>
    <w:basedOn w:val="DefaultParagraphFont"/>
    <w:link w:val="Heading5"/>
    <w:uiPriority w:val="9"/>
    <w:rsid w:val="001072D6"/>
    <w:rPr>
      <w:rFonts w:asciiTheme="majorHAnsi" w:eastAsiaTheme="majorEastAsia" w:hAnsiTheme="majorHAnsi" w:cstheme="majorBidi"/>
      <w:color w:val="2F5496" w:themeColor="accent1" w:themeShade="BF"/>
      <w:kern w:val="0"/>
    </w:rPr>
  </w:style>
  <w:style w:type="character" w:customStyle="1" w:styleId="Heading6Char">
    <w:name w:val="Heading 6 Char"/>
    <w:basedOn w:val="DefaultParagraphFont"/>
    <w:link w:val="Heading6"/>
    <w:uiPriority w:val="9"/>
    <w:rsid w:val="001072D6"/>
    <w:rPr>
      <w:rFonts w:asciiTheme="majorHAnsi" w:eastAsiaTheme="majorEastAsia" w:hAnsiTheme="majorHAnsi" w:cstheme="majorBidi"/>
      <w:color w:val="1F3763" w:themeColor="accent1" w:themeShade="7F"/>
      <w:kern w:val="0"/>
    </w:rPr>
  </w:style>
  <w:style w:type="paragraph" w:styleId="Header">
    <w:name w:val="header"/>
    <w:basedOn w:val="Normal"/>
    <w:link w:val="HeaderChar"/>
    <w:uiPriority w:val="99"/>
    <w:unhideWhenUsed/>
    <w:rsid w:val="00107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2D6"/>
    <w:rPr>
      <w:kern w:val="0"/>
    </w:rPr>
  </w:style>
  <w:style w:type="paragraph" w:styleId="Footer">
    <w:name w:val="footer"/>
    <w:basedOn w:val="Normal"/>
    <w:link w:val="FooterChar"/>
    <w:uiPriority w:val="99"/>
    <w:unhideWhenUsed/>
    <w:rsid w:val="0010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2D6"/>
    <w:rPr>
      <w:kern w:val="0"/>
    </w:rPr>
  </w:style>
  <w:style w:type="paragraph" w:styleId="ListParagraph">
    <w:name w:val="List Paragraph"/>
    <w:aliases w:val="Bullets Points,Bullet1,Bullet 1,Bullet List,Table Legend,_BCD Section Header,Table Bullets"/>
    <w:basedOn w:val="Normal"/>
    <w:link w:val="ListParagraphChar"/>
    <w:uiPriority w:val="34"/>
    <w:qFormat/>
    <w:rsid w:val="001072D6"/>
    <w:pPr>
      <w:ind w:left="720"/>
      <w:contextualSpacing/>
    </w:pPr>
  </w:style>
  <w:style w:type="character" w:styleId="CommentReference">
    <w:name w:val="annotation reference"/>
    <w:basedOn w:val="DefaultParagraphFont"/>
    <w:uiPriority w:val="99"/>
    <w:unhideWhenUsed/>
    <w:qFormat/>
    <w:rsid w:val="001072D6"/>
    <w:rPr>
      <w:sz w:val="16"/>
      <w:szCs w:val="16"/>
    </w:rPr>
  </w:style>
  <w:style w:type="paragraph" w:styleId="CommentText">
    <w:name w:val="annotation text"/>
    <w:basedOn w:val="Normal"/>
    <w:link w:val="CommentTextChar"/>
    <w:uiPriority w:val="99"/>
    <w:unhideWhenUsed/>
    <w:rsid w:val="001072D6"/>
    <w:pPr>
      <w:spacing w:line="240" w:lineRule="auto"/>
    </w:pPr>
    <w:rPr>
      <w:sz w:val="20"/>
      <w:szCs w:val="20"/>
    </w:rPr>
  </w:style>
  <w:style w:type="character" w:customStyle="1" w:styleId="CommentTextChar">
    <w:name w:val="Comment Text Char"/>
    <w:basedOn w:val="DefaultParagraphFont"/>
    <w:link w:val="CommentText"/>
    <w:uiPriority w:val="99"/>
    <w:qFormat/>
    <w:rsid w:val="001072D6"/>
    <w:rPr>
      <w:kern w:val="0"/>
      <w:sz w:val="20"/>
      <w:szCs w:val="20"/>
    </w:rPr>
  </w:style>
  <w:style w:type="paragraph" w:styleId="BalloonText">
    <w:name w:val="Balloon Text"/>
    <w:basedOn w:val="Normal"/>
    <w:link w:val="BalloonTextChar"/>
    <w:uiPriority w:val="99"/>
    <w:semiHidden/>
    <w:unhideWhenUsed/>
    <w:rsid w:val="00107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2D6"/>
    <w:rPr>
      <w:rFonts w:ascii="Segoe UI" w:hAnsi="Segoe UI" w:cs="Segoe UI"/>
      <w:kern w:val="0"/>
      <w:sz w:val="18"/>
      <w:szCs w:val="18"/>
    </w:rPr>
  </w:style>
  <w:style w:type="paragraph" w:styleId="CommentSubject">
    <w:name w:val="annotation subject"/>
    <w:basedOn w:val="CommentText"/>
    <w:next w:val="CommentText"/>
    <w:link w:val="CommentSubjectChar"/>
    <w:uiPriority w:val="99"/>
    <w:semiHidden/>
    <w:unhideWhenUsed/>
    <w:rsid w:val="001072D6"/>
    <w:rPr>
      <w:b/>
      <w:bCs/>
    </w:rPr>
  </w:style>
  <w:style w:type="character" w:customStyle="1" w:styleId="CommentSubjectChar">
    <w:name w:val="Comment Subject Char"/>
    <w:basedOn w:val="CommentTextChar"/>
    <w:link w:val="CommentSubject"/>
    <w:uiPriority w:val="99"/>
    <w:semiHidden/>
    <w:rsid w:val="001072D6"/>
    <w:rPr>
      <w:b/>
      <w:bCs/>
      <w:kern w:val="0"/>
      <w:sz w:val="20"/>
      <w:szCs w:val="20"/>
    </w:rPr>
  </w:style>
  <w:style w:type="character" w:styleId="Hyperlink">
    <w:name w:val="Hyperlink"/>
    <w:basedOn w:val="DefaultParagraphFont"/>
    <w:uiPriority w:val="99"/>
    <w:unhideWhenUsed/>
    <w:rsid w:val="001072D6"/>
    <w:rPr>
      <w:color w:val="0563C1"/>
      <w:u w:val="single"/>
    </w:rPr>
  </w:style>
  <w:style w:type="character" w:customStyle="1" w:styleId="UnresolvedMention">
    <w:name w:val="Unresolved Mention"/>
    <w:basedOn w:val="DefaultParagraphFont"/>
    <w:uiPriority w:val="99"/>
    <w:semiHidden/>
    <w:unhideWhenUsed/>
    <w:rsid w:val="001072D6"/>
    <w:rPr>
      <w:color w:val="605E5C"/>
      <w:shd w:val="clear" w:color="auto" w:fill="E1DFDD"/>
    </w:rPr>
  </w:style>
  <w:style w:type="character" w:customStyle="1" w:styleId="ListParagraphChar">
    <w:name w:val="List Paragraph Char"/>
    <w:aliases w:val="Bullets Points Char,Bullet1 Char,Bullet 1 Char,Bullet List Char,Table Legend Char,_BCD Section Header Char,Table Bullets Char"/>
    <w:basedOn w:val="DefaultParagraphFont"/>
    <w:link w:val="ListParagraph"/>
    <w:uiPriority w:val="34"/>
    <w:rsid w:val="001072D6"/>
    <w:rPr>
      <w:kern w:val="0"/>
    </w:rPr>
  </w:style>
  <w:style w:type="paragraph" w:customStyle="1" w:styleId="EndNoteBibliographyTitle">
    <w:name w:val="EndNote Bibliography Title"/>
    <w:basedOn w:val="Normal"/>
    <w:link w:val="EndNoteBibliographyTitleChar"/>
    <w:rsid w:val="001072D6"/>
    <w:pPr>
      <w:spacing w:after="0"/>
      <w:jc w:val="center"/>
    </w:pPr>
    <w:rPr>
      <w:rFonts w:ascii="Arial" w:hAnsi="Arial" w:cs="Arial"/>
      <w:noProof/>
      <w:lang w:val="en-US"/>
    </w:rPr>
  </w:style>
  <w:style w:type="character" w:customStyle="1" w:styleId="EndNoteBibliographyTitleChar">
    <w:name w:val="EndNote Bibliography Title Char"/>
    <w:basedOn w:val="ListParagraphChar"/>
    <w:link w:val="EndNoteBibliographyTitle"/>
    <w:rsid w:val="001072D6"/>
    <w:rPr>
      <w:rFonts w:ascii="Arial" w:hAnsi="Arial" w:cs="Arial"/>
      <w:noProof/>
      <w:kern w:val="0"/>
      <w:lang w:val="en-US"/>
    </w:rPr>
  </w:style>
  <w:style w:type="paragraph" w:customStyle="1" w:styleId="EndNoteBibliography">
    <w:name w:val="EndNote Bibliography"/>
    <w:basedOn w:val="Normal"/>
    <w:link w:val="EndNoteBibliographyChar"/>
    <w:rsid w:val="001072D6"/>
    <w:pPr>
      <w:spacing w:line="360" w:lineRule="auto"/>
    </w:pPr>
    <w:rPr>
      <w:rFonts w:ascii="Arial" w:hAnsi="Arial" w:cs="Arial"/>
      <w:noProof/>
      <w:lang w:val="en-US"/>
    </w:rPr>
  </w:style>
  <w:style w:type="character" w:customStyle="1" w:styleId="EndNoteBibliographyChar">
    <w:name w:val="EndNote Bibliography Char"/>
    <w:basedOn w:val="ListParagraphChar"/>
    <w:link w:val="EndNoteBibliography"/>
    <w:rsid w:val="001072D6"/>
    <w:rPr>
      <w:rFonts w:ascii="Arial" w:hAnsi="Arial" w:cs="Arial"/>
      <w:noProof/>
      <w:kern w:val="0"/>
      <w:lang w:val="en-US"/>
    </w:rPr>
  </w:style>
  <w:style w:type="table" w:styleId="TableGrid">
    <w:name w:val="Table Grid"/>
    <w:basedOn w:val="TableNormal"/>
    <w:uiPriority w:val="39"/>
    <w:rsid w:val="001072D6"/>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footnote">
    <w:name w:val="Figure or table footnote"/>
    <w:basedOn w:val="Normal"/>
    <w:qFormat/>
    <w:rsid w:val="001072D6"/>
    <w:pPr>
      <w:spacing w:before="80" w:after="0"/>
      <w:contextualSpacing/>
    </w:pPr>
    <w:rPr>
      <w:rFonts w:cs="Arial"/>
      <w:sz w:val="18"/>
      <w:szCs w:val="20"/>
    </w:rPr>
  </w:style>
  <w:style w:type="character" w:styleId="FollowedHyperlink">
    <w:name w:val="FollowedHyperlink"/>
    <w:basedOn w:val="DefaultParagraphFont"/>
    <w:uiPriority w:val="99"/>
    <w:semiHidden/>
    <w:unhideWhenUsed/>
    <w:rsid w:val="001072D6"/>
    <w:rPr>
      <w:color w:val="954F72" w:themeColor="followedHyperlink"/>
      <w:u w:val="single"/>
    </w:rPr>
  </w:style>
  <w:style w:type="character" w:styleId="PlaceholderText">
    <w:name w:val="Placeholder Text"/>
    <w:basedOn w:val="DefaultParagraphFont"/>
    <w:uiPriority w:val="99"/>
    <w:semiHidden/>
    <w:rsid w:val="001072D6"/>
    <w:rPr>
      <w:color w:val="808080"/>
    </w:rPr>
  </w:style>
  <w:style w:type="paragraph" w:styleId="Revision">
    <w:name w:val="Revision"/>
    <w:hidden/>
    <w:uiPriority w:val="99"/>
    <w:semiHidden/>
    <w:rsid w:val="001072D6"/>
    <w:pPr>
      <w:spacing w:after="0" w:line="240" w:lineRule="auto"/>
    </w:pPr>
    <w:rPr>
      <w:kern w:val="0"/>
    </w:rPr>
  </w:style>
  <w:style w:type="paragraph" w:styleId="NoSpacing">
    <w:name w:val="No Spacing"/>
    <w:link w:val="NoSpacingChar"/>
    <w:uiPriority w:val="1"/>
    <w:qFormat/>
    <w:rsid w:val="001072D6"/>
    <w:pPr>
      <w:spacing w:after="0" w:line="240" w:lineRule="auto"/>
    </w:pPr>
    <w:rPr>
      <w:rFonts w:eastAsiaTheme="minorEastAsia"/>
      <w:kern w:val="0"/>
      <w:lang w:val="en-US" w:eastAsia="zh-CN"/>
    </w:rPr>
  </w:style>
  <w:style w:type="character" w:customStyle="1" w:styleId="NoSpacingChar">
    <w:name w:val="No Spacing Char"/>
    <w:basedOn w:val="DefaultParagraphFont"/>
    <w:link w:val="NoSpacing"/>
    <w:uiPriority w:val="1"/>
    <w:rsid w:val="001072D6"/>
    <w:rPr>
      <w:rFonts w:eastAsiaTheme="minorEastAsia"/>
      <w:kern w:val="0"/>
      <w:lang w:val="en-US" w:eastAsia="zh-CN"/>
    </w:rPr>
  </w:style>
  <w:style w:type="character" w:styleId="Strong">
    <w:name w:val="Strong"/>
    <w:basedOn w:val="DefaultParagraphFont"/>
    <w:uiPriority w:val="22"/>
    <w:qFormat/>
    <w:rsid w:val="001072D6"/>
    <w:rPr>
      <w:b/>
      <w:bCs/>
    </w:rPr>
  </w:style>
  <w:style w:type="character" w:styleId="Emphasis">
    <w:name w:val="Emphasis"/>
    <w:basedOn w:val="DefaultParagraphFont"/>
    <w:uiPriority w:val="20"/>
    <w:qFormat/>
    <w:rsid w:val="001072D6"/>
    <w:rPr>
      <w:i/>
      <w:iCs/>
    </w:rPr>
  </w:style>
  <w:style w:type="paragraph" w:styleId="NormalWeb">
    <w:name w:val="Normal (Web)"/>
    <w:basedOn w:val="Normal"/>
    <w:uiPriority w:val="99"/>
    <w:unhideWhenUsed/>
    <w:rsid w:val="001072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80782"/>
    <w:pPr>
      <w:spacing w:after="0" w:line="240" w:lineRule="auto"/>
    </w:pPr>
    <w:rPr>
      <w:rFonts w:ascii="Calibri" w:hAnsi="Calibri" w:cs="Calibri"/>
      <w:lang w:eastAsia="en-GB"/>
    </w:rPr>
  </w:style>
  <w:style w:type="paragraph" w:customStyle="1" w:styleId="pf0">
    <w:name w:val="pf0"/>
    <w:basedOn w:val="Normal"/>
    <w:link w:val="pf0Char"/>
    <w:rsid w:val="004912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912EB"/>
    <w:rPr>
      <w:rFonts w:ascii="Segoe UI" w:hAnsi="Segoe UI" w:cs="Segoe UI" w:hint="default"/>
      <w:sz w:val="18"/>
      <w:szCs w:val="18"/>
    </w:rPr>
  </w:style>
  <w:style w:type="character" w:customStyle="1" w:styleId="pf0Char">
    <w:name w:val="pf0 Char"/>
    <w:basedOn w:val="DefaultParagraphFont"/>
    <w:link w:val="pf0"/>
    <w:rsid w:val="004912EB"/>
    <w:rPr>
      <w:rFonts w:ascii="Times New Roman" w:eastAsia="Times New Roman" w:hAnsi="Times New Roman" w:cs="Times New Roman"/>
      <w:kern w:val="0"/>
      <w:sz w:val="24"/>
      <w:szCs w:val="24"/>
      <w:lang w:eastAsia="en-GB"/>
    </w:rPr>
  </w:style>
  <w:style w:type="character" w:customStyle="1" w:styleId="ui-provider">
    <w:name w:val="ui-provider"/>
    <w:basedOn w:val="DefaultParagraphFont"/>
    <w:rsid w:val="00EC3756"/>
  </w:style>
  <w:style w:type="character" w:styleId="LineNumber">
    <w:name w:val="line number"/>
    <w:basedOn w:val="DefaultParagraphFont"/>
    <w:uiPriority w:val="99"/>
    <w:semiHidden/>
    <w:unhideWhenUsed/>
    <w:rsid w:val="003B03E8"/>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56325598">
      <w:bodyDiv w:val="1"/>
      <w:marLeft w:val="0"/>
      <w:marRight w:val="0"/>
      <w:marTop w:val="0"/>
      <w:marBottom w:val="0"/>
      <w:divBdr>
        <w:top w:val="none" w:sz="0" w:space="0" w:color="auto"/>
        <w:left w:val="none" w:sz="0" w:space="0" w:color="auto"/>
        <w:bottom w:val="none" w:sz="0" w:space="0" w:color="auto"/>
        <w:right w:val="none" w:sz="0" w:space="0" w:color="auto"/>
      </w:divBdr>
    </w:div>
    <w:div w:id="148716247">
      <w:bodyDiv w:val="1"/>
      <w:marLeft w:val="0"/>
      <w:marRight w:val="0"/>
      <w:marTop w:val="0"/>
      <w:marBottom w:val="0"/>
      <w:divBdr>
        <w:top w:val="none" w:sz="0" w:space="0" w:color="auto"/>
        <w:left w:val="none" w:sz="0" w:space="0" w:color="auto"/>
        <w:bottom w:val="none" w:sz="0" w:space="0" w:color="auto"/>
        <w:right w:val="none" w:sz="0" w:space="0" w:color="auto"/>
      </w:divBdr>
    </w:div>
    <w:div w:id="266154637">
      <w:bodyDiv w:val="1"/>
      <w:marLeft w:val="0"/>
      <w:marRight w:val="0"/>
      <w:marTop w:val="0"/>
      <w:marBottom w:val="0"/>
      <w:divBdr>
        <w:top w:val="none" w:sz="0" w:space="0" w:color="auto"/>
        <w:left w:val="none" w:sz="0" w:space="0" w:color="auto"/>
        <w:bottom w:val="none" w:sz="0" w:space="0" w:color="auto"/>
        <w:right w:val="none" w:sz="0" w:space="0" w:color="auto"/>
      </w:divBdr>
    </w:div>
    <w:div w:id="586696099">
      <w:bodyDiv w:val="1"/>
      <w:marLeft w:val="0"/>
      <w:marRight w:val="0"/>
      <w:marTop w:val="0"/>
      <w:marBottom w:val="0"/>
      <w:divBdr>
        <w:top w:val="none" w:sz="0" w:space="0" w:color="auto"/>
        <w:left w:val="none" w:sz="0" w:space="0" w:color="auto"/>
        <w:bottom w:val="none" w:sz="0" w:space="0" w:color="auto"/>
        <w:right w:val="none" w:sz="0" w:space="0" w:color="auto"/>
      </w:divBdr>
    </w:div>
    <w:div w:id="912279089">
      <w:bodyDiv w:val="1"/>
      <w:marLeft w:val="0"/>
      <w:marRight w:val="0"/>
      <w:marTop w:val="0"/>
      <w:marBottom w:val="0"/>
      <w:divBdr>
        <w:top w:val="none" w:sz="0" w:space="0" w:color="auto"/>
        <w:left w:val="none" w:sz="0" w:space="0" w:color="auto"/>
        <w:bottom w:val="none" w:sz="0" w:space="0" w:color="auto"/>
        <w:right w:val="none" w:sz="0" w:space="0" w:color="auto"/>
      </w:divBdr>
    </w:div>
    <w:div w:id="1175538350">
      <w:bodyDiv w:val="1"/>
      <w:marLeft w:val="0"/>
      <w:marRight w:val="0"/>
      <w:marTop w:val="0"/>
      <w:marBottom w:val="0"/>
      <w:divBdr>
        <w:top w:val="none" w:sz="0" w:space="0" w:color="auto"/>
        <w:left w:val="none" w:sz="0" w:space="0" w:color="auto"/>
        <w:bottom w:val="none" w:sz="0" w:space="0" w:color="auto"/>
        <w:right w:val="none" w:sz="0" w:space="0" w:color="auto"/>
      </w:divBdr>
    </w:div>
    <w:div w:id="1242065133">
      <w:bodyDiv w:val="1"/>
      <w:marLeft w:val="0"/>
      <w:marRight w:val="0"/>
      <w:marTop w:val="0"/>
      <w:marBottom w:val="0"/>
      <w:divBdr>
        <w:top w:val="none" w:sz="0" w:space="0" w:color="auto"/>
        <w:left w:val="none" w:sz="0" w:space="0" w:color="auto"/>
        <w:bottom w:val="none" w:sz="0" w:space="0" w:color="auto"/>
        <w:right w:val="none" w:sz="0" w:space="0" w:color="auto"/>
      </w:divBdr>
    </w:div>
    <w:div w:id="1389842534">
      <w:bodyDiv w:val="1"/>
      <w:marLeft w:val="0"/>
      <w:marRight w:val="0"/>
      <w:marTop w:val="0"/>
      <w:marBottom w:val="0"/>
      <w:divBdr>
        <w:top w:val="none" w:sz="0" w:space="0" w:color="auto"/>
        <w:left w:val="none" w:sz="0" w:space="0" w:color="auto"/>
        <w:bottom w:val="none" w:sz="0" w:space="0" w:color="auto"/>
        <w:right w:val="none" w:sz="0" w:space="0" w:color="auto"/>
      </w:divBdr>
    </w:div>
    <w:div w:id="1468550083">
      <w:bodyDiv w:val="1"/>
      <w:marLeft w:val="0"/>
      <w:marRight w:val="0"/>
      <w:marTop w:val="0"/>
      <w:marBottom w:val="0"/>
      <w:divBdr>
        <w:top w:val="none" w:sz="0" w:space="0" w:color="auto"/>
        <w:left w:val="none" w:sz="0" w:space="0" w:color="auto"/>
        <w:bottom w:val="none" w:sz="0" w:space="0" w:color="auto"/>
        <w:right w:val="none" w:sz="0" w:space="0" w:color="auto"/>
      </w:divBdr>
    </w:div>
    <w:div w:id="1727221637">
      <w:bodyDiv w:val="1"/>
      <w:marLeft w:val="0"/>
      <w:marRight w:val="0"/>
      <w:marTop w:val="0"/>
      <w:marBottom w:val="0"/>
      <w:divBdr>
        <w:top w:val="none" w:sz="0" w:space="0" w:color="auto"/>
        <w:left w:val="none" w:sz="0" w:space="0" w:color="auto"/>
        <w:bottom w:val="none" w:sz="0" w:space="0" w:color="auto"/>
        <w:right w:val="none" w:sz="0" w:space="0" w:color="auto"/>
      </w:divBdr>
    </w:div>
    <w:div w:id="2008511543">
      <w:bodyDiv w:val="1"/>
      <w:marLeft w:val="0"/>
      <w:marRight w:val="0"/>
      <w:marTop w:val="0"/>
      <w:marBottom w:val="0"/>
      <w:divBdr>
        <w:top w:val="none" w:sz="0" w:space="0" w:color="auto"/>
        <w:left w:val="none" w:sz="0" w:space="0" w:color="auto"/>
        <w:bottom w:val="none" w:sz="0" w:space="0" w:color="auto"/>
        <w:right w:val="none" w:sz="0" w:space="0" w:color="auto"/>
      </w:divBdr>
    </w:div>
    <w:div w:id="203581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A85D-E634-48B7-B766-B621541B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writer</dc:creator>
  <cp:lastModifiedBy>Devendran S</cp:lastModifiedBy>
  <cp:revision>2</cp:revision>
  <dcterms:created xsi:type="dcterms:W3CDTF">2024-08-01T16:21:00Z</dcterms:created>
  <dcterms:modified xsi:type="dcterms:W3CDTF">2024-08-01T16:21:00Z</dcterms:modified>
</cp:coreProperties>
</file>