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34" w:rsidRPr="00B01894" w:rsidRDefault="00991F34" w:rsidP="00991F34">
      <w:pPr>
        <w:rPr>
          <w:rFonts w:ascii="Times New Roman" w:hAnsi="Times New Roman" w:cs="Times New Roman"/>
          <w:b/>
          <w:sz w:val="24"/>
          <w:szCs w:val="24"/>
        </w:rPr>
      </w:pPr>
      <w:r w:rsidRPr="00B01894">
        <w:rPr>
          <w:rFonts w:ascii="Times New Roman" w:hAnsi="Times New Roman" w:cs="Times New Roman"/>
          <w:b/>
          <w:sz w:val="24"/>
          <w:szCs w:val="24"/>
        </w:rPr>
        <w:t>Supplementary Tables and Figures:</w:t>
      </w:r>
    </w:p>
    <w:p w:rsidR="00991F34" w:rsidRPr="00FD7FD1" w:rsidRDefault="00991F34" w:rsidP="00991F34">
      <w:pPr>
        <w:rPr>
          <w:rFonts w:ascii="Times New Roman" w:hAnsi="Times New Roman" w:cs="Times New Roman"/>
        </w:rPr>
      </w:pPr>
      <w:proofErr w:type="gramStart"/>
      <w:r w:rsidRPr="00FD7FD1">
        <w:rPr>
          <w:rFonts w:ascii="Times New Roman" w:hAnsi="Times New Roman" w:cs="Times New Roman"/>
          <w:sz w:val="24"/>
          <w:szCs w:val="24"/>
        </w:rPr>
        <w:t>Supplementary Table 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7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F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Experience with </w:t>
      </w:r>
      <w:r w:rsidRPr="00FD7FD1">
        <w:rPr>
          <w:rFonts w:ascii="Times New Roman" w:hAnsi="Times New Roman" w:cs="Times New Roman"/>
        </w:rPr>
        <w:t>MET, EGFR, VEGFR Inhibitors in Papillary RCC</w:t>
      </w: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717" w:type="dxa"/>
        <w:tblInd w:w="-455" w:type="dxa"/>
        <w:tblLook w:val="04A0" w:firstRow="1" w:lastRow="0" w:firstColumn="1" w:lastColumn="0" w:noHBand="0" w:noVBand="1"/>
      </w:tblPr>
      <w:tblGrid>
        <w:gridCol w:w="1350"/>
        <w:gridCol w:w="1260"/>
        <w:gridCol w:w="2700"/>
        <w:gridCol w:w="990"/>
        <w:gridCol w:w="2340"/>
        <w:gridCol w:w="2077"/>
      </w:tblGrid>
      <w:tr w:rsidR="00991F34" w:rsidRPr="00456E09" w:rsidTr="00F957FC">
        <w:trPr>
          <w:trHeight w:val="386"/>
        </w:trPr>
        <w:tc>
          <w:tcPr>
            <w:tcW w:w="1350" w:type="dxa"/>
          </w:tcPr>
          <w:p w:rsidR="00991F34" w:rsidRPr="00456E09" w:rsidRDefault="00991F34" w:rsidP="00F957FC">
            <w:r w:rsidRPr="00456E09">
              <w:t>Study</w:t>
            </w:r>
          </w:p>
        </w:tc>
        <w:tc>
          <w:tcPr>
            <w:tcW w:w="1260" w:type="dxa"/>
          </w:tcPr>
          <w:p w:rsidR="00991F34" w:rsidRPr="00456E09" w:rsidRDefault="00991F34" w:rsidP="00F957FC">
            <w:r w:rsidRPr="00456E09">
              <w:t>S1107</w:t>
            </w:r>
          </w:p>
        </w:tc>
        <w:tc>
          <w:tcPr>
            <w:tcW w:w="2700" w:type="dxa"/>
          </w:tcPr>
          <w:p w:rsidR="00991F34" w:rsidRPr="00456E09" w:rsidRDefault="00991F34" w:rsidP="00F957FC">
            <w:pPr>
              <w:rPr>
                <w:vertAlign w:val="superscript"/>
              </w:rPr>
            </w:pPr>
            <w:r w:rsidRPr="00456E09">
              <w:t>DFC/NCI</w:t>
            </w:r>
            <w:r w:rsidRPr="00456E09">
              <w:rPr>
                <w:vertAlign w:val="superscript"/>
              </w:rPr>
              <w:t>1</w:t>
            </w:r>
          </w:p>
          <w:p w:rsidR="00991F34" w:rsidRPr="00456E09" w:rsidRDefault="00991F34" w:rsidP="00F957FC"/>
        </w:tc>
        <w:tc>
          <w:tcPr>
            <w:tcW w:w="990" w:type="dxa"/>
          </w:tcPr>
          <w:p w:rsidR="00991F34" w:rsidRPr="00456E09" w:rsidRDefault="00991F34" w:rsidP="00F957FC">
            <w:pPr>
              <w:rPr>
                <w:vertAlign w:val="superscript"/>
              </w:rPr>
            </w:pPr>
            <w:r w:rsidRPr="00456E09">
              <w:t>S0317</w:t>
            </w:r>
            <w:r w:rsidRPr="00456E09">
              <w:rPr>
                <w:vertAlign w:val="superscript"/>
              </w:rPr>
              <w:t>2</w:t>
            </w:r>
          </w:p>
          <w:p w:rsidR="00991F34" w:rsidRPr="00456E09" w:rsidRDefault="00991F34" w:rsidP="00F957FC"/>
        </w:tc>
        <w:tc>
          <w:tcPr>
            <w:tcW w:w="2340" w:type="dxa"/>
          </w:tcPr>
          <w:p w:rsidR="00991F34" w:rsidRPr="00456E09" w:rsidRDefault="00991F34" w:rsidP="00F957FC">
            <w:pPr>
              <w:rPr>
                <w:vertAlign w:val="superscript"/>
              </w:rPr>
            </w:pPr>
            <w:r w:rsidRPr="00456E09">
              <w:t>GETUG</w:t>
            </w:r>
            <w:r w:rsidRPr="00456E09">
              <w:rPr>
                <w:vertAlign w:val="superscript"/>
              </w:rPr>
              <w:t>3</w:t>
            </w:r>
          </w:p>
          <w:p w:rsidR="00991F34" w:rsidRPr="00456E09" w:rsidRDefault="00991F34" w:rsidP="00F957FC"/>
        </w:tc>
        <w:tc>
          <w:tcPr>
            <w:tcW w:w="2077" w:type="dxa"/>
          </w:tcPr>
          <w:p w:rsidR="00991F34" w:rsidRPr="00456E09" w:rsidRDefault="00991F34" w:rsidP="00F957FC">
            <w:pPr>
              <w:rPr>
                <w:vertAlign w:val="superscript"/>
              </w:rPr>
            </w:pPr>
            <w:r w:rsidRPr="00456E09">
              <w:t>Astra Zeneca</w:t>
            </w:r>
            <w:r w:rsidRPr="00456E09">
              <w:rPr>
                <w:vertAlign w:val="superscript"/>
              </w:rPr>
              <w:t>4</w:t>
            </w:r>
          </w:p>
          <w:p w:rsidR="00991F34" w:rsidRPr="00456E09" w:rsidRDefault="00991F34" w:rsidP="00F957FC"/>
        </w:tc>
      </w:tr>
      <w:tr w:rsidR="00991F34" w:rsidRPr="00456E09" w:rsidTr="00F957FC">
        <w:trPr>
          <w:trHeight w:val="553"/>
        </w:trPr>
        <w:tc>
          <w:tcPr>
            <w:tcW w:w="1350" w:type="dxa"/>
          </w:tcPr>
          <w:p w:rsidR="00991F34" w:rsidRPr="00456E09" w:rsidRDefault="00991F34" w:rsidP="00F957FC">
            <w:r w:rsidRPr="00456E09">
              <w:t>Drug</w:t>
            </w:r>
          </w:p>
        </w:tc>
        <w:tc>
          <w:tcPr>
            <w:tcW w:w="1260" w:type="dxa"/>
          </w:tcPr>
          <w:p w:rsidR="00991F34" w:rsidRPr="00456E09" w:rsidRDefault="00991F34" w:rsidP="00F957FC">
            <w:r w:rsidRPr="00456E09">
              <w:t>ARQ 197+/-</w:t>
            </w:r>
          </w:p>
          <w:p w:rsidR="00991F34" w:rsidRPr="00456E09" w:rsidRDefault="00991F34" w:rsidP="00F957FC">
            <w:proofErr w:type="spellStart"/>
            <w:r w:rsidRPr="00456E09">
              <w:t>erlotinib</w:t>
            </w:r>
            <w:proofErr w:type="spellEnd"/>
          </w:p>
        </w:tc>
        <w:tc>
          <w:tcPr>
            <w:tcW w:w="2700" w:type="dxa"/>
          </w:tcPr>
          <w:p w:rsidR="00991F34" w:rsidRPr="00456E09" w:rsidRDefault="00991F34" w:rsidP="00F957FC">
            <w:proofErr w:type="spellStart"/>
            <w:r w:rsidRPr="00456E09">
              <w:t>foretinib</w:t>
            </w:r>
            <w:proofErr w:type="spellEnd"/>
          </w:p>
        </w:tc>
        <w:tc>
          <w:tcPr>
            <w:tcW w:w="990" w:type="dxa"/>
          </w:tcPr>
          <w:p w:rsidR="00991F34" w:rsidRPr="00456E09" w:rsidRDefault="00991F34" w:rsidP="00F957FC">
            <w:proofErr w:type="spellStart"/>
            <w:r w:rsidRPr="00456E09">
              <w:t>erlotinib</w:t>
            </w:r>
            <w:proofErr w:type="spellEnd"/>
          </w:p>
        </w:tc>
        <w:tc>
          <w:tcPr>
            <w:tcW w:w="2340" w:type="dxa"/>
          </w:tcPr>
          <w:p w:rsidR="00991F34" w:rsidRPr="00456E09" w:rsidRDefault="00991F34" w:rsidP="00F957FC">
            <w:proofErr w:type="spellStart"/>
            <w:r w:rsidRPr="00456E09">
              <w:t>sunitinib</w:t>
            </w:r>
            <w:proofErr w:type="spellEnd"/>
          </w:p>
        </w:tc>
        <w:tc>
          <w:tcPr>
            <w:tcW w:w="2077" w:type="dxa"/>
          </w:tcPr>
          <w:p w:rsidR="00991F34" w:rsidRPr="00456E09" w:rsidRDefault="00991F34" w:rsidP="00F957FC">
            <w:proofErr w:type="spellStart"/>
            <w:r w:rsidRPr="00456E09">
              <w:t>savolitinib</w:t>
            </w:r>
            <w:proofErr w:type="spellEnd"/>
          </w:p>
        </w:tc>
      </w:tr>
      <w:tr w:rsidR="00991F34" w:rsidRPr="00456E09" w:rsidTr="00F957FC">
        <w:trPr>
          <w:trHeight w:val="553"/>
        </w:trPr>
        <w:tc>
          <w:tcPr>
            <w:tcW w:w="1350" w:type="dxa"/>
          </w:tcPr>
          <w:p w:rsidR="00991F34" w:rsidRPr="00456E09" w:rsidRDefault="00991F34" w:rsidP="00F957FC">
            <w:r w:rsidRPr="00456E09">
              <w:t>Mechanism</w:t>
            </w:r>
          </w:p>
        </w:tc>
        <w:tc>
          <w:tcPr>
            <w:tcW w:w="1260" w:type="dxa"/>
          </w:tcPr>
          <w:p w:rsidR="00991F34" w:rsidRPr="00456E09" w:rsidRDefault="00991F34" w:rsidP="00F957FC">
            <w:r w:rsidRPr="00456E09">
              <w:t>MET/EGFR</w:t>
            </w:r>
          </w:p>
        </w:tc>
        <w:tc>
          <w:tcPr>
            <w:tcW w:w="2700" w:type="dxa"/>
          </w:tcPr>
          <w:p w:rsidR="00991F34" w:rsidRPr="00456E09" w:rsidRDefault="00991F34" w:rsidP="00F957FC">
            <w:r w:rsidRPr="00456E09">
              <w:t>VEGFR/MET</w:t>
            </w:r>
          </w:p>
        </w:tc>
        <w:tc>
          <w:tcPr>
            <w:tcW w:w="990" w:type="dxa"/>
          </w:tcPr>
          <w:p w:rsidR="00991F34" w:rsidRPr="00456E09" w:rsidRDefault="00991F34" w:rsidP="00F957FC">
            <w:r w:rsidRPr="00456E09">
              <w:t>EGFR</w:t>
            </w:r>
          </w:p>
        </w:tc>
        <w:tc>
          <w:tcPr>
            <w:tcW w:w="2340" w:type="dxa"/>
          </w:tcPr>
          <w:p w:rsidR="00991F34" w:rsidRPr="00456E09" w:rsidRDefault="00991F34" w:rsidP="00F957FC">
            <w:r w:rsidRPr="00456E09">
              <w:t>VEGFR</w:t>
            </w:r>
          </w:p>
        </w:tc>
        <w:tc>
          <w:tcPr>
            <w:tcW w:w="2077" w:type="dxa"/>
          </w:tcPr>
          <w:p w:rsidR="00991F34" w:rsidRPr="00456E09" w:rsidRDefault="00991F34" w:rsidP="00F957FC">
            <w:r w:rsidRPr="00456E09">
              <w:t>MET</w:t>
            </w:r>
          </w:p>
        </w:tc>
      </w:tr>
      <w:tr w:rsidR="00991F34" w:rsidRPr="00456E09" w:rsidTr="00F957FC">
        <w:trPr>
          <w:trHeight w:val="553"/>
        </w:trPr>
        <w:tc>
          <w:tcPr>
            <w:tcW w:w="1350" w:type="dxa"/>
          </w:tcPr>
          <w:p w:rsidR="00991F34" w:rsidRPr="00456E09" w:rsidRDefault="00991F34" w:rsidP="00F957FC">
            <w:r w:rsidRPr="00456E09">
              <w:t>N</w:t>
            </w:r>
          </w:p>
        </w:tc>
        <w:tc>
          <w:tcPr>
            <w:tcW w:w="1260" w:type="dxa"/>
          </w:tcPr>
          <w:p w:rsidR="00991F34" w:rsidRPr="00456E09" w:rsidRDefault="00991F34" w:rsidP="00F957FC">
            <w:r w:rsidRPr="00456E09">
              <w:t>50</w:t>
            </w:r>
          </w:p>
        </w:tc>
        <w:tc>
          <w:tcPr>
            <w:tcW w:w="2700" w:type="dxa"/>
          </w:tcPr>
          <w:p w:rsidR="00991F34" w:rsidRPr="00456E09" w:rsidRDefault="00991F34" w:rsidP="00F957FC">
            <w:r w:rsidRPr="00456E09">
              <w:t>68 (</w:t>
            </w:r>
            <w:r>
              <w:t xml:space="preserve">9 </w:t>
            </w:r>
            <w:r w:rsidRPr="00456E09">
              <w:t>HPRC</w:t>
            </w:r>
            <w:r>
              <w:t>*)</w:t>
            </w:r>
          </w:p>
        </w:tc>
        <w:tc>
          <w:tcPr>
            <w:tcW w:w="990" w:type="dxa"/>
          </w:tcPr>
          <w:p w:rsidR="00991F34" w:rsidRPr="00456E09" w:rsidRDefault="00991F34" w:rsidP="00F957FC">
            <w:r w:rsidRPr="00456E09">
              <w:t>52</w:t>
            </w:r>
          </w:p>
        </w:tc>
        <w:tc>
          <w:tcPr>
            <w:tcW w:w="2340" w:type="dxa"/>
          </w:tcPr>
          <w:p w:rsidR="00991F34" w:rsidRPr="00456E09" w:rsidRDefault="00991F34" w:rsidP="00F957FC">
            <w:r w:rsidRPr="00456E09">
              <w:t>46/15 (type 2/1)</w:t>
            </w:r>
          </w:p>
        </w:tc>
        <w:tc>
          <w:tcPr>
            <w:tcW w:w="2077" w:type="dxa"/>
          </w:tcPr>
          <w:p w:rsidR="00991F34" w:rsidRPr="00456E09" w:rsidRDefault="00991F34" w:rsidP="00F957FC">
            <w:r w:rsidRPr="00456E09">
              <w:t>109 (44 with MET alterations)</w:t>
            </w:r>
          </w:p>
        </w:tc>
      </w:tr>
      <w:tr w:rsidR="00991F34" w:rsidRPr="00456E09" w:rsidTr="00F957FC">
        <w:trPr>
          <w:trHeight w:val="553"/>
        </w:trPr>
        <w:tc>
          <w:tcPr>
            <w:tcW w:w="1350" w:type="dxa"/>
          </w:tcPr>
          <w:p w:rsidR="00991F34" w:rsidRPr="00456E09" w:rsidRDefault="00991F34" w:rsidP="00F957FC">
            <w:r w:rsidRPr="00456E09">
              <w:t>RR%</w:t>
            </w:r>
          </w:p>
        </w:tc>
        <w:tc>
          <w:tcPr>
            <w:tcW w:w="1260" w:type="dxa"/>
          </w:tcPr>
          <w:p w:rsidR="00991F34" w:rsidRPr="00456E09" w:rsidRDefault="00991F34" w:rsidP="00F957FC">
            <w:r w:rsidRPr="00456E09">
              <w:t>0</w:t>
            </w:r>
          </w:p>
        </w:tc>
        <w:tc>
          <w:tcPr>
            <w:tcW w:w="2700" w:type="dxa"/>
          </w:tcPr>
          <w:p w:rsidR="00991F34" w:rsidRPr="00456E09" w:rsidRDefault="00991F34" w:rsidP="00F957FC">
            <w:r w:rsidRPr="00456E09">
              <w:t>13.5 (5% if HPRC excluded)</w:t>
            </w:r>
          </w:p>
        </w:tc>
        <w:tc>
          <w:tcPr>
            <w:tcW w:w="990" w:type="dxa"/>
          </w:tcPr>
          <w:p w:rsidR="00991F34" w:rsidRPr="00456E09" w:rsidRDefault="00991F34" w:rsidP="00F957FC">
            <w:r w:rsidRPr="00456E09">
              <w:t>11</w:t>
            </w:r>
          </w:p>
        </w:tc>
        <w:tc>
          <w:tcPr>
            <w:tcW w:w="2340" w:type="dxa"/>
          </w:tcPr>
          <w:p w:rsidR="00991F34" w:rsidRPr="00456E09" w:rsidRDefault="00991F34" w:rsidP="00F957FC">
            <w:r w:rsidRPr="00456E09">
              <w:t>11/13 (type 2/1)</w:t>
            </w:r>
          </w:p>
        </w:tc>
        <w:tc>
          <w:tcPr>
            <w:tcW w:w="2077" w:type="dxa"/>
          </w:tcPr>
          <w:p w:rsidR="00991F34" w:rsidRPr="00456E09" w:rsidRDefault="00991F34" w:rsidP="00F957FC">
            <w:r w:rsidRPr="00456E09">
              <w:t>7</w:t>
            </w:r>
          </w:p>
          <w:p w:rsidR="00991F34" w:rsidRPr="00456E09" w:rsidRDefault="00991F34" w:rsidP="00F957FC">
            <w:r w:rsidRPr="00456E09">
              <w:t>(18% in MET driven tumors</w:t>
            </w:r>
          </w:p>
        </w:tc>
      </w:tr>
      <w:tr w:rsidR="00991F34" w:rsidRPr="00456E09" w:rsidTr="00F957FC">
        <w:trPr>
          <w:trHeight w:val="271"/>
        </w:trPr>
        <w:tc>
          <w:tcPr>
            <w:tcW w:w="1350" w:type="dxa"/>
          </w:tcPr>
          <w:p w:rsidR="00991F34" w:rsidRPr="00456E09" w:rsidRDefault="00991F34" w:rsidP="00F957FC">
            <w:r w:rsidRPr="00456E09">
              <w:t>PFS months</w:t>
            </w:r>
          </w:p>
        </w:tc>
        <w:tc>
          <w:tcPr>
            <w:tcW w:w="1260" w:type="dxa"/>
          </w:tcPr>
          <w:p w:rsidR="00991F34" w:rsidRPr="00456E09" w:rsidRDefault="00991F34" w:rsidP="00F957FC">
            <w:r w:rsidRPr="00456E09">
              <w:t>2.0/3.9</w:t>
            </w:r>
          </w:p>
        </w:tc>
        <w:tc>
          <w:tcPr>
            <w:tcW w:w="2700" w:type="dxa"/>
          </w:tcPr>
          <w:p w:rsidR="00991F34" w:rsidRPr="00456E09" w:rsidRDefault="00991F34" w:rsidP="00F957FC">
            <w:r w:rsidRPr="00456E09">
              <w:t>9.3</w:t>
            </w:r>
          </w:p>
        </w:tc>
        <w:tc>
          <w:tcPr>
            <w:tcW w:w="990" w:type="dxa"/>
          </w:tcPr>
          <w:p w:rsidR="00991F34" w:rsidRPr="00456E09" w:rsidRDefault="00991F34" w:rsidP="00F957FC">
            <w:r w:rsidRPr="00456E09">
              <w:t>5</w:t>
            </w:r>
          </w:p>
        </w:tc>
        <w:tc>
          <w:tcPr>
            <w:tcW w:w="2340" w:type="dxa"/>
          </w:tcPr>
          <w:p w:rsidR="00991F34" w:rsidRPr="00456E09" w:rsidRDefault="00991F34" w:rsidP="00F957FC">
            <w:r w:rsidRPr="00456E09">
              <w:t>5.5/6.6 (type 2/1)</w:t>
            </w:r>
          </w:p>
        </w:tc>
        <w:tc>
          <w:tcPr>
            <w:tcW w:w="2077" w:type="dxa"/>
          </w:tcPr>
          <w:p w:rsidR="00991F34" w:rsidRPr="00456E09" w:rsidRDefault="00991F34" w:rsidP="00F957FC">
            <w:r w:rsidRPr="00456E09">
              <w:t>6.2 for MET driven</w:t>
            </w:r>
          </w:p>
          <w:p w:rsidR="00991F34" w:rsidRPr="00456E09" w:rsidRDefault="00991F34" w:rsidP="00F957FC">
            <w:r w:rsidRPr="00456E09">
              <w:t xml:space="preserve">1.4 for MET </w:t>
            </w:r>
            <w:proofErr w:type="spellStart"/>
            <w:r w:rsidRPr="00456E09">
              <w:t>neg</w:t>
            </w:r>
            <w:proofErr w:type="spellEnd"/>
            <w:r w:rsidRPr="00456E09">
              <w:t xml:space="preserve"> </w:t>
            </w:r>
          </w:p>
        </w:tc>
      </w:tr>
      <w:tr w:rsidR="00991F34" w:rsidRPr="00456E09" w:rsidTr="00F957FC">
        <w:trPr>
          <w:trHeight w:val="282"/>
        </w:trPr>
        <w:tc>
          <w:tcPr>
            <w:tcW w:w="1350" w:type="dxa"/>
          </w:tcPr>
          <w:p w:rsidR="00991F34" w:rsidRPr="00456E09" w:rsidRDefault="00991F34" w:rsidP="00F957FC">
            <w:r w:rsidRPr="00456E09">
              <w:t xml:space="preserve">OS months </w:t>
            </w:r>
          </w:p>
        </w:tc>
        <w:tc>
          <w:tcPr>
            <w:tcW w:w="1260" w:type="dxa"/>
          </w:tcPr>
          <w:p w:rsidR="00991F34" w:rsidRPr="00456E09" w:rsidRDefault="00991F34" w:rsidP="00F957FC">
            <w:r w:rsidRPr="00456E09">
              <w:t>10.3/11.3</w:t>
            </w:r>
          </w:p>
        </w:tc>
        <w:tc>
          <w:tcPr>
            <w:tcW w:w="2700" w:type="dxa"/>
          </w:tcPr>
          <w:p w:rsidR="00991F34" w:rsidRPr="00456E09" w:rsidRDefault="00991F34" w:rsidP="00F957FC">
            <w:r w:rsidRPr="00456E09">
              <w:t>NR (1 year-70%)</w:t>
            </w:r>
          </w:p>
        </w:tc>
        <w:tc>
          <w:tcPr>
            <w:tcW w:w="990" w:type="dxa"/>
          </w:tcPr>
          <w:p w:rsidR="00991F34" w:rsidRPr="00456E09" w:rsidRDefault="00991F34" w:rsidP="00F957FC">
            <w:r w:rsidRPr="00456E09">
              <w:t>27</w:t>
            </w:r>
          </w:p>
        </w:tc>
        <w:tc>
          <w:tcPr>
            <w:tcW w:w="2340" w:type="dxa"/>
          </w:tcPr>
          <w:p w:rsidR="00991F34" w:rsidRPr="00456E09" w:rsidRDefault="00991F34" w:rsidP="00F957FC">
            <w:r w:rsidRPr="00456E09">
              <w:t>12.4/17.8 (type 2/1)</w:t>
            </w:r>
          </w:p>
        </w:tc>
        <w:tc>
          <w:tcPr>
            <w:tcW w:w="2077" w:type="dxa"/>
          </w:tcPr>
          <w:p w:rsidR="00991F34" w:rsidRPr="00456E09" w:rsidRDefault="00991F34" w:rsidP="00F957FC">
            <w:r w:rsidRPr="00456E09">
              <w:t>Not reported</w:t>
            </w:r>
          </w:p>
        </w:tc>
      </w:tr>
    </w:tbl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Pr="00456E09" w:rsidRDefault="00991F34" w:rsidP="00991F34">
      <w:pPr>
        <w:ind w:left="720"/>
        <w:contextualSpacing/>
        <w:rPr>
          <w:sz w:val="16"/>
          <w:szCs w:val="16"/>
        </w:rPr>
      </w:pPr>
      <w:r w:rsidRPr="00456E0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AD9170" wp14:editId="10B12B6A">
                <wp:simplePos x="0" y="0"/>
                <wp:positionH relativeFrom="column">
                  <wp:posOffset>-528168</wp:posOffset>
                </wp:positionH>
                <wp:positionV relativeFrom="paragraph">
                  <wp:posOffset>258016</wp:posOffset>
                </wp:positionV>
                <wp:extent cx="5904865" cy="1416050"/>
                <wp:effectExtent l="0" t="0" r="63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34" w:rsidRPr="008D2B59" w:rsidRDefault="00991F34" w:rsidP="00991F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Choueri</w:t>
                            </w:r>
                            <w:proofErr w:type="spellEnd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 TK et al. Phase II biomarker study of the dual MET/VEGFR2 inhibitor </w:t>
                            </w:r>
                            <w:proofErr w:type="spellStart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foretinib</w:t>
                            </w:r>
                            <w:proofErr w:type="spellEnd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 in patients with papillary renal cell carcinoma </w:t>
                            </w:r>
                            <w:proofErr w:type="spellStart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J.Clin</w:t>
                            </w:r>
                            <w:proofErr w:type="spellEnd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 Oncol.2013 Jan 10</w:t>
                            </w:r>
                            <w:proofErr w:type="gramStart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;31</w:t>
                            </w:r>
                            <w:proofErr w:type="gramEnd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 (2):181-6.</w:t>
                            </w:r>
                          </w:p>
                          <w:p w:rsidR="00991F34" w:rsidRPr="008D2B59" w:rsidRDefault="00991F34" w:rsidP="00991F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Gordon M. et al. Phase II study of </w:t>
                            </w:r>
                            <w:proofErr w:type="spellStart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erlotinib</w:t>
                            </w:r>
                            <w:proofErr w:type="spellEnd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 in patients with locally advanced or metastatic papillary histology renal cancer: SWOG S0317. </w:t>
                            </w:r>
                            <w:proofErr w:type="spellStart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J.Clin</w:t>
                            </w:r>
                            <w:proofErr w:type="spellEnd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Oncol</w:t>
                            </w:r>
                            <w:proofErr w:type="spellEnd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 2009 Dec</w:t>
                            </w:r>
                            <w:proofErr w:type="gramStart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;27</w:t>
                            </w:r>
                            <w:proofErr w:type="gramEnd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(34):5788-93.</w:t>
                            </w:r>
                          </w:p>
                          <w:p w:rsidR="00991F34" w:rsidRPr="008D2B59" w:rsidRDefault="00991F34" w:rsidP="00991F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Ravaud</w:t>
                            </w:r>
                            <w:proofErr w:type="spellEnd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 A. et al. First-line treatment with </w:t>
                            </w:r>
                            <w:proofErr w:type="spellStart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sunitinib</w:t>
                            </w:r>
                            <w:proofErr w:type="spellEnd"/>
                            <w:r w:rsidRPr="00D17C4F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 for type 1 and type 2 locally advanced or metastatic papillary renal cell carcinoma: a phase II study (SUPAP) by the French Genitourinary Group (GETUG). Ann Oncol.2015 Mar 23.</w:t>
                            </w:r>
                          </w:p>
                          <w:p w:rsidR="00991F34" w:rsidRPr="008D2B59" w:rsidRDefault="00991F34" w:rsidP="00991F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contextualSpacing/>
                              <w:rPr>
                                <w:rFonts w:ascii="Whitney Semibold" w:eastAsia="Times New Roman" w:hAnsi="Whitney Semibold" w:cs="Arial"/>
                                <w:bCs/>
                                <w:kern w:val="2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D2B59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>Choueri</w:t>
                            </w:r>
                            <w:proofErr w:type="spellEnd"/>
                            <w:r w:rsidRPr="008D2B59">
                              <w:rPr>
                                <w:rFonts w:ascii="Whitney Semibold" w:eastAsia="Times New Roman" w:hAnsi="Whitney Semibold" w:cs="Arial"/>
                                <w:kern w:val="24"/>
                                <w:sz w:val="16"/>
                                <w:szCs w:val="16"/>
                              </w:rPr>
                              <w:t xml:space="preserve"> TK et al. </w:t>
                            </w:r>
                            <w:r w:rsidRPr="008D2B59">
                              <w:rPr>
                                <w:rFonts w:ascii="Whitney Semibold" w:eastAsia="Times New Roman" w:hAnsi="Whitney Semibold" w:cs="Arial"/>
                                <w:bCs/>
                                <w:kern w:val="24"/>
                                <w:sz w:val="16"/>
                                <w:szCs w:val="16"/>
                              </w:rPr>
                              <w:t>Biomarker-Based Phase II Trial of</w:t>
                            </w:r>
                            <w:r w:rsidRPr="008D2B59">
                              <w:rPr>
                                <w:rFonts w:ascii="Whitney Semibold" w:eastAsia="Times New Roman" w:hAnsi="Whitney Semibold" w:cs="Arial" w:hint="eastAsia"/>
                                <w:bCs/>
                                <w:kern w:val="2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8D2B59">
                              <w:rPr>
                                <w:rFonts w:ascii="Whitney Semibold" w:eastAsia="Times New Roman" w:hAnsi="Whitney Semibold" w:cs="Arial"/>
                                <w:bCs/>
                                <w:kern w:val="24"/>
                                <w:sz w:val="16"/>
                                <w:szCs w:val="16"/>
                              </w:rPr>
                              <w:t>Savolitinib</w:t>
                            </w:r>
                            <w:proofErr w:type="spellEnd"/>
                            <w:r w:rsidRPr="008D2B59">
                              <w:rPr>
                                <w:rFonts w:ascii="Whitney Semibold" w:eastAsia="Times New Roman" w:hAnsi="Whitney Semibold" w:cs="Arial" w:hint="eastAsia"/>
                                <w:bCs/>
                                <w:kern w:val="24"/>
                                <w:sz w:val="16"/>
                                <w:szCs w:val="16"/>
                              </w:rPr>
                              <w:t> </w:t>
                            </w:r>
                            <w:r w:rsidRPr="008D2B59">
                              <w:rPr>
                                <w:rFonts w:ascii="Whitney Semibold" w:eastAsia="Times New Roman" w:hAnsi="Whitney Semibold" w:cs="Arial"/>
                                <w:bCs/>
                                <w:kern w:val="24"/>
                                <w:sz w:val="16"/>
                                <w:szCs w:val="16"/>
                              </w:rPr>
                              <w:t>in Patients with Advanced Papillary Renal Cell Cancer.</w:t>
                            </w:r>
                            <w:r w:rsidRPr="008D2B59">
                              <w:rPr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hyperlink r:id="rId6" w:tooltip="Journal of clinical oncology : official journal of the American Society of Clinical Oncology." w:history="1">
                              <w:r w:rsidRPr="00D17C4F">
                                <w:rPr>
                                  <w:rStyle w:val="Hyperlink"/>
                                  <w:rFonts w:ascii="Whitney Semibold" w:eastAsia="Times New Roman" w:hAnsi="Whitney Semibold" w:cs="Arial"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J </w:t>
                              </w:r>
                              <w:proofErr w:type="spellStart"/>
                              <w:r w:rsidRPr="00D17C4F">
                                <w:rPr>
                                  <w:rStyle w:val="Hyperlink"/>
                                  <w:rFonts w:ascii="Whitney Semibold" w:eastAsia="Times New Roman" w:hAnsi="Whitney Semibold" w:cs="Arial"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Clin</w:t>
                              </w:r>
                              <w:proofErr w:type="spellEnd"/>
                              <w:r w:rsidRPr="00D17C4F">
                                <w:rPr>
                                  <w:rStyle w:val="Hyperlink"/>
                                  <w:rFonts w:ascii="Whitney Semibold" w:eastAsia="Times New Roman" w:hAnsi="Whitney Semibold" w:cs="Arial"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D17C4F">
                                <w:rPr>
                                  <w:rStyle w:val="Hyperlink"/>
                                  <w:rFonts w:ascii="Whitney Semibold" w:eastAsia="Times New Roman" w:hAnsi="Whitney Semibold" w:cs="Arial"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Oncol</w:t>
                              </w:r>
                              <w:proofErr w:type="spellEnd"/>
                              <w:r w:rsidRPr="00D17C4F">
                                <w:rPr>
                                  <w:rStyle w:val="Hyperlink"/>
                                  <w:rFonts w:ascii="Whitney Semibold" w:eastAsia="Times New Roman" w:hAnsi="Whitney Semibold" w:cs="Arial"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hyperlink>
                            <w:r w:rsidRPr="008D2B59">
                              <w:rPr>
                                <w:rFonts w:ascii="Whitney Semibold" w:eastAsia="Times New Roman" w:hAnsi="Whitney Semibold" w:cs="Arial" w:hint="eastAsia"/>
                                <w:bCs/>
                                <w:kern w:val="24"/>
                                <w:sz w:val="16"/>
                                <w:szCs w:val="16"/>
                              </w:rPr>
                              <w:t> </w:t>
                            </w:r>
                            <w:r w:rsidRPr="008D2B59">
                              <w:rPr>
                                <w:rFonts w:ascii="Whitney Semibold" w:eastAsia="Times New Roman" w:hAnsi="Whitney Semibold" w:cs="Arial"/>
                                <w:bCs/>
                                <w:kern w:val="24"/>
                                <w:sz w:val="16"/>
                                <w:szCs w:val="16"/>
                              </w:rPr>
                              <w:t>2017 Sep 10</w:t>
                            </w:r>
                            <w:proofErr w:type="gramStart"/>
                            <w:r w:rsidRPr="008D2B59">
                              <w:rPr>
                                <w:rFonts w:ascii="Whitney Semibold" w:eastAsia="Times New Roman" w:hAnsi="Whitney Semibold" w:cs="Arial"/>
                                <w:bCs/>
                                <w:kern w:val="24"/>
                                <w:sz w:val="16"/>
                                <w:szCs w:val="16"/>
                              </w:rPr>
                              <w:t>;35</w:t>
                            </w:r>
                            <w:proofErr w:type="gramEnd"/>
                            <w:r w:rsidRPr="008D2B59">
                              <w:rPr>
                                <w:rFonts w:ascii="Whitney Semibold" w:eastAsia="Times New Roman" w:hAnsi="Whitney Semibold" w:cs="Arial"/>
                                <w:bCs/>
                                <w:kern w:val="24"/>
                                <w:sz w:val="16"/>
                                <w:szCs w:val="16"/>
                              </w:rPr>
                              <w:t>(26):2993-3001.</w:t>
                            </w:r>
                          </w:p>
                          <w:p w:rsidR="00991F34" w:rsidRPr="008D2B59" w:rsidRDefault="00991F34" w:rsidP="00991F34">
                            <w:pPr>
                              <w:spacing w:after="0" w:line="240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91F34" w:rsidRPr="00835603" w:rsidRDefault="00991F34" w:rsidP="00991F3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91F34" w:rsidRPr="00474DED" w:rsidRDefault="00991F34" w:rsidP="00991F34">
                            <w:pPr>
                              <w:spacing w:after="0" w:line="240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91F34" w:rsidRPr="00474DED" w:rsidRDefault="00991F34" w:rsidP="00991F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F34" w:rsidRDefault="00991F34" w:rsidP="0099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6pt;margin-top:20.3pt;width:464.95pt;height:11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U9IAIAABwEAAAOAAAAZHJzL2Uyb0RvYy54bWysU9uO2yAQfa/Uf0C8N7ajON1YcVbbbFNV&#10;2l6k3X4AxjhGBYYCiZ1+fQeczUbbt6o8IIYZDjNnzqxvR63IUTgvwdS0mOWUCMOhlWZf0x9Pu3c3&#10;lPjATMsUGFHTk/D0dvP2zXqwlZhDD6oVjiCI8dVga9qHYKss87wXmvkZWGHQ2YHTLKDp9lnr2IDo&#10;WmXzPF9mA7jWOuDCe7y9n5x0k/C7TvDwreu8CETVFHMLaXdpb+Kebdas2jtme8nPabB/yEIzafDT&#10;C9Q9C4wcnPwLSkvuwEMXZhx0Bl0nuUg1YDVF/qqax55ZkWpBcry90OT/Hyz/evzuiGxruqTEMI0t&#10;ehJjIB9gJPPIzmB9hUGPFsPCiNfY5VSptw/Af3piYNszsxd3zsHQC9ZidkV8mV09nXB8BGmGL9Di&#10;N+wQIAGNndOROiSDIDp26XTpTEyF42W5yhc3y5ISjr5iUSzzMvUuY9Xzc+t8+CRAk3ioqcPWJ3h2&#10;fPAhpsOq55D4mwcl251UKhlu32yVI0eGMtmllSp4FaYMGWq6KudlQjYQ3ycFaRlQxkrqmt7kcU3C&#10;inR8NG0KCUyq6YyZKHPmJ1IykRPGZsTASFoD7QmZcjDJFccLDz2435QMKNWa+l8H5gQl6rNBtlfF&#10;YhG1nYxF+X6Ohrv2NNceZjhC1TRQMh23Ic1D5MHAHXalk4mvl0zOuaIEE43ncYkav7ZT1MtQb/4A&#10;AAD//wMAUEsDBBQABgAIAAAAIQA3tOFA3wAAAAoBAAAPAAAAZHJzL2Rvd25yZXYueG1sTI/RToNA&#10;EEXfTfyHzZj4YtpFigsiQ6MmGl9b+wEDbIHIzhJ2W+jfuz7Zx8k9ufdMsV3MIM56cr1lhMd1BEJz&#10;bZueW4TD98cqA+E8cUODZY1w0Q625e1NQXljZ97p8963IpSwywmh837MpXR1pw25tR01h+xoJ0M+&#10;nFMrm4nmUG4GGUeRkoZ6Dgsdjfq90/XP/mQQjl/zw9PzXH36Q7pL1Bv1aWUviPd3y+sLCK8X/w/D&#10;n35QhzI4VfbEjRMDwirbxAFFSCIFIgBZolIQFUKsNgpkWcjrF8pfAAAA//8DAFBLAQItABQABgAI&#10;AAAAIQC2gziS/gAAAOEBAAATAAAAAAAAAAAAAAAAAAAAAABbQ29udGVudF9UeXBlc10ueG1sUEsB&#10;Ai0AFAAGAAgAAAAhADj9If/WAAAAlAEAAAsAAAAAAAAAAAAAAAAALwEAAF9yZWxzLy5yZWxzUEsB&#10;Ai0AFAAGAAgAAAAhAI4T5T0gAgAAHAQAAA4AAAAAAAAAAAAAAAAALgIAAGRycy9lMm9Eb2MueG1s&#10;UEsBAi0AFAAGAAgAAAAhADe04UDfAAAACgEAAA8AAAAAAAAAAAAAAAAAegQAAGRycy9kb3ducmV2&#10;LnhtbFBLBQYAAAAABAAEAPMAAACGBQAAAAA=&#10;" stroked="f">
                <v:textbox>
                  <w:txbxContent>
                    <w:p w:rsidR="00991F34" w:rsidRPr="008D2B59" w:rsidRDefault="00991F34" w:rsidP="00991F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Choueri</w:t>
                      </w:r>
                      <w:proofErr w:type="spellEnd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 TK et al. Phase II biomarker study of the dual MET/VEGFR2 inhibitor </w:t>
                      </w:r>
                      <w:proofErr w:type="spellStart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foretinib</w:t>
                      </w:r>
                      <w:proofErr w:type="spellEnd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 in patients with papillary renal cell carcinoma </w:t>
                      </w:r>
                      <w:proofErr w:type="spellStart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J.Clin</w:t>
                      </w:r>
                      <w:proofErr w:type="spellEnd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 Oncol.2013 Jan 10</w:t>
                      </w:r>
                      <w:proofErr w:type="gramStart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;31</w:t>
                      </w:r>
                      <w:proofErr w:type="gramEnd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 (2):181-6.</w:t>
                      </w:r>
                    </w:p>
                    <w:p w:rsidR="00991F34" w:rsidRPr="008D2B59" w:rsidRDefault="00991F34" w:rsidP="00991F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Gordon M. et al. Phase II study of </w:t>
                      </w:r>
                      <w:proofErr w:type="spellStart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erlotinib</w:t>
                      </w:r>
                      <w:proofErr w:type="spellEnd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 in patients with locally advanced or metastatic papillary histology renal cancer: SWOG S0317. </w:t>
                      </w:r>
                      <w:proofErr w:type="spellStart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J.Clin</w:t>
                      </w:r>
                      <w:proofErr w:type="spellEnd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Oncol</w:t>
                      </w:r>
                      <w:proofErr w:type="spellEnd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 2009 Dec</w:t>
                      </w:r>
                      <w:proofErr w:type="gramStart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;27</w:t>
                      </w:r>
                      <w:proofErr w:type="gramEnd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(34):5788-93.</w:t>
                      </w:r>
                    </w:p>
                    <w:p w:rsidR="00991F34" w:rsidRPr="008D2B59" w:rsidRDefault="00991F34" w:rsidP="00991F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Ravaud</w:t>
                      </w:r>
                      <w:proofErr w:type="spellEnd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 A. et al. First-line treatment with </w:t>
                      </w:r>
                      <w:proofErr w:type="spellStart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sunitinib</w:t>
                      </w:r>
                      <w:proofErr w:type="spellEnd"/>
                      <w:r w:rsidRPr="00D17C4F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 for type 1 and type 2 locally advanced or metastatic papillary renal cell carcinoma: a phase II study (SUPAP) by the French Genitourinary Group (GETUG). Ann Oncol.2015 Mar 23.</w:t>
                      </w:r>
                    </w:p>
                    <w:p w:rsidR="00991F34" w:rsidRPr="008D2B59" w:rsidRDefault="00991F34" w:rsidP="00991F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contextualSpacing/>
                        <w:rPr>
                          <w:rFonts w:ascii="Whitney Semibold" w:eastAsia="Times New Roman" w:hAnsi="Whitney Semibold" w:cs="Arial"/>
                          <w:bCs/>
                          <w:kern w:val="24"/>
                          <w:sz w:val="16"/>
                          <w:szCs w:val="16"/>
                        </w:rPr>
                      </w:pPr>
                      <w:proofErr w:type="spellStart"/>
                      <w:r w:rsidRPr="008D2B59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>Choueri</w:t>
                      </w:r>
                      <w:proofErr w:type="spellEnd"/>
                      <w:r w:rsidRPr="008D2B59">
                        <w:rPr>
                          <w:rFonts w:ascii="Whitney Semibold" w:eastAsia="Times New Roman" w:hAnsi="Whitney Semibold" w:cs="Arial"/>
                          <w:kern w:val="24"/>
                          <w:sz w:val="16"/>
                          <w:szCs w:val="16"/>
                        </w:rPr>
                        <w:t xml:space="preserve"> TK et al. </w:t>
                      </w:r>
                      <w:r w:rsidRPr="008D2B59">
                        <w:rPr>
                          <w:rFonts w:ascii="Whitney Semibold" w:eastAsia="Times New Roman" w:hAnsi="Whitney Semibold" w:cs="Arial"/>
                          <w:bCs/>
                          <w:kern w:val="24"/>
                          <w:sz w:val="16"/>
                          <w:szCs w:val="16"/>
                        </w:rPr>
                        <w:t>Biomarker-Based Phase II Trial of</w:t>
                      </w:r>
                      <w:r w:rsidRPr="008D2B59">
                        <w:rPr>
                          <w:rFonts w:ascii="Whitney Semibold" w:eastAsia="Times New Roman" w:hAnsi="Whitney Semibold" w:cs="Arial" w:hint="eastAsia"/>
                          <w:bCs/>
                          <w:kern w:val="2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8D2B59">
                        <w:rPr>
                          <w:rFonts w:ascii="Whitney Semibold" w:eastAsia="Times New Roman" w:hAnsi="Whitney Semibold" w:cs="Arial"/>
                          <w:bCs/>
                          <w:kern w:val="24"/>
                          <w:sz w:val="16"/>
                          <w:szCs w:val="16"/>
                        </w:rPr>
                        <w:t>Savolitinib</w:t>
                      </w:r>
                      <w:proofErr w:type="spellEnd"/>
                      <w:r w:rsidRPr="008D2B59">
                        <w:rPr>
                          <w:rFonts w:ascii="Whitney Semibold" w:eastAsia="Times New Roman" w:hAnsi="Whitney Semibold" w:cs="Arial" w:hint="eastAsia"/>
                          <w:bCs/>
                          <w:kern w:val="24"/>
                          <w:sz w:val="16"/>
                          <w:szCs w:val="16"/>
                        </w:rPr>
                        <w:t> </w:t>
                      </w:r>
                      <w:r w:rsidRPr="008D2B59">
                        <w:rPr>
                          <w:rFonts w:ascii="Whitney Semibold" w:eastAsia="Times New Roman" w:hAnsi="Whitney Semibold" w:cs="Arial"/>
                          <w:bCs/>
                          <w:kern w:val="24"/>
                          <w:sz w:val="16"/>
                          <w:szCs w:val="16"/>
                        </w:rPr>
                        <w:t>in Patients with Advanced Papillary Renal Cell Cancer.</w:t>
                      </w:r>
                      <w:r w:rsidRPr="008D2B59">
                        <w:rPr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hyperlink r:id="rId7" w:tooltip="Journal of clinical oncology : official journal of the American Society of Clinical Oncology." w:history="1">
                        <w:r w:rsidRPr="00D17C4F">
                          <w:rPr>
                            <w:rStyle w:val="Hyperlink"/>
                            <w:rFonts w:ascii="Whitney Semibold" w:eastAsia="Times New Roman" w:hAnsi="Whitney Semibold" w:cs="Arial"/>
                            <w:bCs/>
                            <w:kern w:val="24"/>
                            <w:sz w:val="16"/>
                            <w:szCs w:val="16"/>
                          </w:rPr>
                          <w:t xml:space="preserve">J </w:t>
                        </w:r>
                        <w:proofErr w:type="spellStart"/>
                        <w:r w:rsidRPr="00D17C4F">
                          <w:rPr>
                            <w:rStyle w:val="Hyperlink"/>
                            <w:rFonts w:ascii="Whitney Semibold" w:eastAsia="Times New Roman" w:hAnsi="Whitney Semibold" w:cs="Arial"/>
                            <w:bCs/>
                            <w:kern w:val="24"/>
                            <w:sz w:val="16"/>
                            <w:szCs w:val="16"/>
                          </w:rPr>
                          <w:t>Clin</w:t>
                        </w:r>
                        <w:proofErr w:type="spellEnd"/>
                        <w:r w:rsidRPr="00D17C4F">
                          <w:rPr>
                            <w:rStyle w:val="Hyperlink"/>
                            <w:rFonts w:ascii="Whitney Semibold" w:eastAsia="Times New Roman" w:hAnsi="Whitney Semibold" w:cs="Arial"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17C4F">
                          <w:rPr>
                            <w:rStyle w:val="Hyperlink"/>
                            <w:rFonts w:ascii="Whitney Semibold" w:eastAsia="Times New Roman" w:hAnsi="Whitney Semibold" w:cs="Arial"/>
                            <w:bCs/>
                            <w:kern w:val="24"/>
                            <w:sz w:val="16"/>
                            <w:szCs w:val="16"/>
                          </w:rPr>
                          <w:t>Oncol</w:t>
                        </w:r>
                        <w:proofErr w:type="spellEnd"/>
                        <w:r w:rsidRPr="00D17C4F">
                          <w:rPr>
                            <w:rStyle w:val="Hyperlink"/>
                            <w:rFonts w:ascii="Whitney Semibold" w:eastAsia="Times New Roman" w:hAnsi="Whitney Semibold" w:cs="Arial"/>
                            <w:bCs/>
                            <w:kern w:val="24"/>
                            <w:sz w:val="16"/>
                            <w:szCs w:val="16"/>
                          </w:rPr>
                          <w:t>.</w:t>
                        </w:r>
                      </w:hyperlink>
                      <w:r w:rsidRPr="008D2B59">
                        <w:rPr>
                          <w:rFonts w:ascii="Whitney Semibold" w:eastAsia="Times New Roman" w:hAnsi="Whitney Semibold" w:cs="Arial" w:hint="eastAsia"/>
                          <w:bCs/>
                          <w:kern w:val="24"/>
                          <w:sz w:val="16"/>
                          <w:szCs w:val="16"/>
                        </w:rPr>
                        <w:t> </w:t>
                      </w:r>
                      <w:r w:rsidRPr="008D2B59">
                        <w:rPr>
                          <w:rFonts w:ascii="Whitney Semibold" w:eastAsia="Times New Roman" w:hAnsi="Whitney Semibold" w:cs="Arial"/>
                          <w:bCs/>
                          <w:kern w:val="24"/>
                          <w:sz w:val="16"/>
                          <w:szCs w:val="16"/>
                        </w:rPr>
                        <w:t>2017 Sep 10</w:t>
                      </w:r>
                      <w:proofErr w:type="gramStart"/>
                      <w:r w:rsidRPr="008D2B59">
                        <w:rPr>
                          <w:rFonts w:ascii="Whitney Semibold" w:eastAsia="Times New Roman" w:hAnsi="Whitney Semibold" w:cs="Arial"/>
                          <w:bCs/>
                          <w:kern w:val="24"/>
                          <w:sz w:val="16"/>
                          <w:szCs w:val="16"/>
                        </w:rPr>
                        <w:t>;35</w:t>
                      </w:r>
                      <w:proofErr w:type="gramEnd"/>
                      <w:r w:rsidRPr="008D2B59">
                        <w:rPr>
                          <w:rFonts w:ascii="Whitney Semibold" w:eastAsia="Times New Roman" w:hAnsi="Whitney Semibold" w:cs="Arial"/>
                          <w:bCs/>
                          <w:kern w:val="24"/>
                          <w:sz w:val="16"/>
                          <w:szCs w:val="16"/>
                        </w:rPr>
                        <w:t>(26):2993-3001.</w:t>
                      </w:r>
                    </w:p>
                    <w:p w:rsidR="00991F34" w:rsidRPr="008D2B59" w:rsidRDefault="00991F34" w:rsidP="00991F34">
                      <w:pPr>
                        <w:spacing w:after="0" w:line="240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91F34" w:rsidRPr="00835603" w:rsidRDefault="00991F34" w:rsidP="00991F34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91F34" w:rsidRPr="00474DED" w:rsidRDefault="00991F34" w:rsidP="00991F34">
                      <w:pPr>
                        <w:spacing w:after="0" w:line="240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91F34" w:rsidRPr="00474DED" w:rsidRDefault="00991F34" w:rsidP="00991F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91F34" w:rsidRDefault="00991F34" w:rsidP="00991F34"/>
                  </w:txbxContent>
                </v:textbox>
                <w10:wrap type="topAndBottom"/>
              </v:shape>
            </w:pict>
          </mc:Fallback>
        </mc:AlternateContent>
      </w:r>
      <w:r w:rsidRPr="00456E09">
        <w:rPr>
          <w:sz w:val="16"/>
          <w:szCs w:val="16"/>
        </w:rPr>
        <w:t xml:space="preserve">*Hereditary Papillary Renal Cell Carcinoma </w:t>
      </w: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2D4AF6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S2</w:t>
      </w:r>
      <w:r w:rsidRPr="002D4A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Number of Patients with a Reported </w:t>
      </w:r>
      <w:r w:rsidRPr="002D4AF6">
        <w:rPr>
          <w:rFonts w:ascii="Times New Roman" w:hAnsi="Times New Roman" w:cs="Times New Roman"/>
          <w:bCs/>
          <w:sz w:val="24"/>
          <w:szCs w:val="24"/>
        </w:rPr>
        <w:t xml:space="preserve">Grade ≥ 3 Adverse Events </w:t>
      </w:r>
      <w:r>
        <w:rPr>
          <w:rFonts w:ascii="Times New Roman" w:hAnsi="Times New Roman" w:cs="Times New Roman"/>
          <w:bCs/>
          <w:sz w:val="24"/>
          <w:szCs w:val="24"/>
        </w:rPr>
        <w:t xml:space="preserve">Assessed as Being Possibly, Probably or Definitely </w:t>
      </w:r>
      <w:r w:rsidRPr="002D4AF6">
        <w:rPr>
          <w:rFonts w:ascii="Times New Roman" w:hAnsi="Times New Roman" w:cs="Times New Roman"/>
          <w:bCs/>
          <w:sz w:val="24"/>
          <w:szCs w:val="24"/>
        </w:rPr>
        <w:t>Related to Treatment</w:t>
      </w:r>
      <w:r>
        <w:rPr>
          <w:rFonts w:ascii="Times New Roman" w:hAnsi="Times New Roman" w:cs="Times New Roman"/>
          <w:bCs/>
          <w:sz w:val="24"/>
          <w:szCs w:val="24"/>
        </w:rPr>
        <w:t>, By Treatment Arm</w:t>
      </w:r>
      <w:r w:rsidRPr="002D4A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66"/>
        <w:gridCol w:w="432"/>
        <w:gridCol w:w="432"/>
        <w:gridCol w:w="432"/>
        <w:gridCol w:w="566"/>
        <w:gridCol w:w="10"/>
        <w:gridCol w:w="422"/>
        <w:gridCol w:w="432"/>
        <w:gridCol w:w="432"/>
        <w:gridCol w:w="690"/>
      </w:tblGrid>
      <w:tr w:rsidR="00991F34" w:rsidRPr="00EF003E" w:rsidTr="00F957FC">
        <w:trPr>
          <w:cantSplit/>
          <w:tblHeader/>
        </w:trPr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6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ARQ 197</w:t>
            </w: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(n=25)</w:t>
            </w: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Grade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6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ARQ 197 + </w:t>
            </w:r>
            <w:proofErr w:type="spellStart"/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Erlotinib</w:t>
            </w:r>
            <w:proofErr w:type="spellEnd"/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(n=25)</w:t>
            </w: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Grade</w:t>
            </w:r>
          </w:p>
        </w:tc>
      </w:tr>
      <w:tr w:rsidR="00991F34" w:rsidRPr="00EF003E" w:rsidTr="00F957FC">
        <w:trPr>
          <w:gridAfter w:val="1"/>
          <w:wAfter w:w="690" w:type="dxa"/>
          <w:cantSplit/>
          <w:tblHeader/>
        </w:trPr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ADVERSE EVENTS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 increased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 increased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Dyspnea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Erythema </w:t>
            </w:r>
            <w:proofErr w:type="spellStart"/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multiforme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Fatigue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Febrile neutropenia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Hypoxia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Infections/infestations-Other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Lung infection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Lymphocyte count decreased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Myocardial infarction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Nausea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Neutrophil count decreased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Pain in extremity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Pneumonitis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Rash </w:t>
            </w:r>
            <w:proofErr w:type="spellStart"/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acneiform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Rash </w:t>
            </w:r>
            <w:proofErr w:type="spellStart"/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maculo-papular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Stroke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Weight loss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White blood cell decreased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MAX. GRADE ANY ADVERSE EVENT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1F34" w:rsidRPr="00EF003E" w:rsidTr="00F957FC">
        <w:trPr>
          <w:gridAfter w:val="1"/>
          <w:wAfter w:w="690" w:type="dxa"/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91F34" w:rsidRPr="00EF003E" w:rsidRDefault="00991F34" w:rsidP="00F957FC">
            <w:pPr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91F34" w:rsidRDefault="00991F34" w:rsidP="00991F3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1F34" w:rsidRDefault="00991F34" w:rsidP="00991F3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bCs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91F34" w:rsidRPr="00287823" w:rsidRDefault="00991F34" w:rsidP="00991F3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287823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S3</w:t>
      </w:r>
      <w:r w:rsidRPr="002878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7823">
        <w:rPr>
          <w:rFonts w:ascii="Times New Roman" w:hAnsi="Times New Roman" w:cs="Times New Roman"/>
          <w:sz w:val="24"/>
          <w:szCs w:val="24"/>
        </w:rPr>
        <w:t xml:space="preserve"> Pathway analysis of mutated genes</w:t>
      </w:r>
    </w:p>
    <w:tbl>
      <w:tblPr>
        <w:tblW w:w="855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34"/>
        <w:gridCol w:w="1048"/>
        <w:gridCol w:w="1143"/>
        <w:gridCol w:w="2627"/>
      </w:tblGrid>
      <w:tr w:rsidR="00991F34" w:rsidRPr="000A04A3" w:rsidTr="00F957FC">
        <w:trPr>
          <w:trHeight w:val="303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Pathways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P-value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FDR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Genes</w:t>
            </w:r>
          </w:p>
        </w:tc>
      </w:tr>
      <w:tr w:rsidR="00991F34" w:rsidRPr="000A04A3" w:rsidTr="00F957FC">
        <w:trPr>
          <w:trHeight w:val="469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Wnt</w:t>
            </w:r>
            <w:proofErr w:type="spellEnd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signaling pathway(P)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1.05E-07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1.79E-05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FAT1,PCDHB8,PCDHB6,CREBBP,PCDHB1,CELSR2,PCDH15,CTNNA2,EP400,CDH11</w:t>
            </w:r>
          </w:p>
        </w:tc>
      </w:tr>
      <w:tr w:rsidR="00991F34" w:rsidRPr="000A04A3" w:rsidTr="00F957FC">
        <w:trPr>
          <w:trHeight w:val="469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Cadherin signaling pathway(P)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1.72E-07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1.79E-05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FAT1,PCDHB8,PCDHB6,PCDHB1,CELSR2,PCDH15,CTNNA2</w:t>
            </w:r>
          </w:p>
        </w:tc>
      </w:tr>
      <w:tr w:rsidR="00991F34" w:rsidRPr="000A04A3" w:rsidTr="00F957FC">
        <w:trPr>
          <w:trHeight w:val="469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Mitotic G2-G2/M phases(R)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3.46E-07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2.39E-05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AKAP9,TUBGCP3,TUBGCP6,CEP131,ALMS1,CENPJ,PLK1</w:t>
            </w:r>
          </w:p>
        </w:tc>
      </w:tr>
      <w:tr w:rsidR="00991F34" w:rsidRPr="00D17C4F" w:rsidTr="00F957FC">
        <w:trPr>
          <w:trHeight w:val="469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Assembly of the primary cilium(R)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7.11E-05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3.70E-03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D17C4F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zh-CN"/>
              </w:rPr>
            </w:pPr>
            <w:r w:rsidRPr="00D17C4F">
              <w:rPr>
                <w:rFonts w:ascii="Times New Roman" w:eastAsia="Times New Roman" w:hAnsi="Times New Roman" w:cs="Times New Roman"/>
                <w:color w:val="000000"/>
                <w:lang w:val="nl-NL" w:eastAsia="zh-CN"/>
              </w:rPr>
              <w:t>AKAP9,CEP131,ALMS1,CENPJ,PLK1,IFT88</w:t>
            </w:r>
          </w:p>
        </w:tc>
      </w:tr>
      <w:tr w:rsidR="00991F34" w:rsidRPr="000A04A3" w:rsidTr="00F957FC">
        <w:trPr>
          <w:trHeight w:val="469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Urokinase</w:t>
            </w:r>
            <w:proofErr w:type="spellEnd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-type plasminogen activator (</w:t>
            </w:r>
            <w:proofErr w:type="spellStart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uPA</w:t>
            </w:r>
            <w:proofErr w:type="spellEnd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) and </w:t>
            </w:r>
            <w:proofErr w:type="spellStart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uPAR</w:t>
            </w:r>
            <w:proofErr w:type="spellEnd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-mediated signaling(N)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7.08E-04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NCL,LRP1,PLAU</w:t>
            </w:r>
          </w:p>
        </w:tc>
      </w:tr>
      <w:tr w:rsidR="00991F34" w:rsidRPr="000A04A3" w:rsidTr="00F957FC">
        <w:trPr>
          <w:trHeight w:val="469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Chromatin modifying enzymes(R)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1.07E-03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0.0363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KDM6A,KMT2C,CREBBP,SMARCC2,EP400</w:t>
            </w:r>
          </w:p>
        </w:tc>
      </w:tr>
      <w:tr w:rsidR="00991F34" w:rsidRPr="000A04A3" w:rsidTr="00F957FC">
        <w:trPr>
          <w:trHeight w:val="696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Activation of anterior HOX genes in hindbrain development during early embryogenesis(R)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2.57E-03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0.0744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KDM6A,KMT2C,CREBBP</w:t>
            </w:r>
          </w:p>
        </w:tc>
      </w:tr>
      <w:tr w:rsidR="00991F34" w:rsidRPr="000A04A3" w:rsidTr="00F957FC">
        <w:trPr>
          <w:trHeight w:val="303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Myogenesis</w:t>
            </w:r>
            <w:proofErr w:type="spellEnd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(R)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4.47E-03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0.1161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MEF2A,CTNNA2</w:t>
            </w:r>
          </w:p>
        </w:tc>
      </w:tr>
      <w:tr w:rsidR="00991F34" w:rsidRPr="000A04A3" w:rsidTr="00F957FC">
        <w:trPr>
          <w:trHeight w:val="469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the information processing pathway at the </w:t>
            </w:r>
            <w:proofErr w:type="spellStart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ifn</w:t>
            </w:r>
            <w:proofErr w:type="spellEnd"/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beta enhancer(B)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6.87E-03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0.1464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IRF6,SMARCC2</w:t>
            </w:r>
          </w:p>
        </w:tc>
      </w:tr>
      <w:tr w:rsidR="00991F34" w:rsidRPr="000A04A3" w:rsidTr="00F957FC">
        <w:trPr>
          <w:trHeight w:val="303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amb2 Integrin signaling(N)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7.32E-03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0.1464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F34" w:rsidRPr="00287823" w:rsidRDefault="00991F34" w:rsidP="00F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782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LRP1,PLAU</w:t>
            </w:r>
          </w:p>
        </w:tc>
      </w:tr>
    </w:tbl>
    <w:p w:rsidR="00991F34" w:rsidRDefault="00991F34" w:rsidP="00991F34">
      <w:pPr>
        <w:rPr>
          <w:rFonts w:ascii="Times New Roman" w:hAnsi="Times New Roman" w:cs="Times New Roman"/>
          <w:bCs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Default="00991F34" w:rsidP="00991F34">
      <w:pPr>
        <w:rPr>
          <w:rFonts w:ascii="Times New Roman" w:hAnsi="Times New Roman" w:cs="Times New Roman"/>
          <w:sz w:val="24"/>
          <w:szCs w:val="24"/>
        </w:rPr>
      </w:pPr>
    </w:p>
    <w:p w:rsidR="00991F34" w:rsidRPr="00287823" w:rsidRDefault="00991F34" w:rsidP="00991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3DBDA1" wp14:editId="0CA0C1C0">
            <wp:simplePos x="0" y="0"/>
            <wp:positionH relativeFrom="column">
              <wp:posOffset>2044700</wp:posOffset>
            </wp:positionH>
            <wp:positionV relativeFrom="paragraph">
              <wp:posOffset>-919480</wp:posOffset>
            </wp:positionV>
            <wp:extent cx="1870710" cy="5309235"/>
            <wp:effectExtent l="1714500" t="0" r="1691640" b="0"/>
            <wp:wrapNone/>
            <wp:docPr id="4" name="Picture 5" descr="pt_symbol_by_occurrence_0_o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t_symbol_by_occurrence_0_or_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0710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35AAAF" wp14:editId="3BE1BD70">
            <wp:simplePos x="0" y="0"/>
            <wp:positionH relativeFrom="column">
              <wp:posOffset>-207645</wp:posOffset>
            </wp:positionH>
            <wp:positionV relativeFrom="paragraph">
              <wp:posOffset>1941830</wp:posOffset>
            </wp:positionV>
            <wp:extent cx="445135" cy="695325"/>
            <wp:effectExtent l="0" t="0" r="0" b="0"/>
            <wp:wrapNone/>
            <wp:docPr id="5" name="Picture 7" descr="pt_symbol_by_occurrence_0_or_1_color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pt_symbol_by_occurrence_0_or_1_colorbar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287823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7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287823">
        <w:rPr>
          <w:rFonts w:ascii="Times New Roman" w:hAnsi="Times New Roman" w:cs="Times New Roman"/>
          <w:sz w:val="24"/>
          <w:szCs w:val="24"/>
        </w:rPr>
        <w:t>. Clustering genes with variants by sample</w:t>
      </w:r>
    </w:p>
    <w:p w:rsidR="00991F34" w:rsidRPr="005A2180" w:rsidRDefault="00991F34" w:rsidP="00991F3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1F34" w:rsidRDefault="00991F34">
      <w:bookmarkStart w:id="0" w:name="_GoBack"/>
      <w:bookmarkEnd w:id="0"/>
    </w:p>
    <w:sectPr w:rsidR="00991F34" w:rsidSect="00C1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4CD"/>
    <w:multiLevelType w:val="hybridMultilevel"/>
    <w:tmpl w:val="0728D6DE"/>
    <w:lvl w:ilvl="0" w:tplc="84D4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A5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26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6F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EB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67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AE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A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34"/>
    <w:rsid w:val="0063375B"/>
    <w:rsid w:val="0099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9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9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28644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86447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2017-11-26T08:14:00Z</dcterms:created>
  <dcterms:modified xsi:type="dcterms:W3CDTF">2017-11-26T08:15:00Z</dcterms:modified>
</cp:coreProperties>
</file>