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27" w:rsidRPr="005946BC" w:rsidRDefault="005F1127" w:rsidP="005F1127">
      <w:pPr>
        <w:rPr>
          <w:b/>
          <w:bCs w:val="0"/>
        </w:rPr>
      </w:pPr>
      <w:proofErr w:type="gramStart"/>
      <w:r w:rsidRPr="005946BC">
        <w:rPr>
          <w:b/>
          <w:bCs w:val="0"/>
        </w:rPr>
        <w:t>Supplementary Table 1.</w:t>
      </w:r>
      <w:proofErr w:type="gramEnd"/>
      <w:r w:rsidRPr="005946BC">
        <w:rPr>
          <w:bCs w:val="0"/>
        </w:rPr>
        <w:t xml:space="preserve"> </w:t>
      </w:r>
      <w:r w:rsidRPr="005946BC">
        <w:rPr>
          <w:b/>
          <w:bCs w:val="0"/>
        </w:rPr>
        <w:t xml:space="preserve">Changes in </w:t>
      </w:r>
      <w:r>
        <w:rPr>
          <w:b/>
          <w:bCs w:val="0"/>
        </w:rPr>
        <w:t xml:space="preserve">OST </w:t>
      </w:r>
      <w:r w:rsidRPr="005946BC">
        <w:rPr>
          <w:b/>
          <w:bCs w:val="0"/>
        </w:rPr>
        <w:t xml:space="preserve">Standing Blood Pressure </w:t>
      </w:r>
      <w:proofErr w:type="gramStart"/>
      <w:r w:rsidRPr="005946BC">
        <w:rPr>
          <w:b/>
          <w:bCs w:val="0"/>
        </w:rPr>
        <w:t>During</w:t>
      </w:r>
      <w:proofErr w:type="gramEnd"/>
      <w:r w:rsidRPr="005946BC">
        <w:rPr>
          <w:b/>
          <w:bCs w:val="0"/>
        </w:rPr>
        <w:t xml:space="preserve"> Long-Term Open-Label Treatment With </w:t>
      </w:r>
      <w:proofErr w:type="spellStart"/>
      <w:r w:rsidRPr="005946BC">
        <w:rPr>
          <w:b/>
          <w:bCs w:val="0"/>
        </w:rPr>
        <w:t>Droxidopa</w:t>
      </w:r>
      <w:proofErr w:type="spellEnd"/>
      <w:r w:rsidRPr="005946BC">
        <w:rPr>
          <w:b/>
          <w:bCs w:val="0"/>
        </w:rPr>
        <w:t>*</w:t>
      </w:r>
    </w:p>
    <w:tbl>
      <w:tblPr>
        <w:tblStyle w:val="TableClassic1"/>
        <w:tblW w:w="9576" w:type="dxa"/>
        <w:tblLook w:val="0620" w:firstRow="1" w:lastRow="0" w:firstColumn="0" w:lastColumn="0" w:noHBand="1" w:noVBand="1"/>
      </w:tblPr>
      <w:tblGrid>
        <w:gridCol w:w="1752"/>
        <w:gridCol w:w="576"/>
        <w:gridCol w:w="1596"/>
        <w:gridCol w:w="1506"/>
        <w:gridCol w:w="258"/>
        <w:gridCol w:w="2382"/>
        <w:gridCol w:w="1506"/>
      </w:tblGrid>
      <w:tr w:rsidR="005F1127" w:rsidRPr="005946BC" w:rsidTr="00AC2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2" w:type="dxa"/>
            <w:vMerge w:val="restart"/>
            <w:tcBorders>
              <w:top w:val="single" w:sz="4" w:space="0" w:color="auto"/>
            </w:tcBorders>
            <w:vAlign w:val="bottom"/>
          </w:tcPr>
          <w:p w:rsidR="005F1127" w:rsidRPr="00735F85" w:rsidRDefault="005F1127" w:rsidP="00AC2AEB">
            <w:pPr>
              <w:rPr>
                <w:b/>
                <w:bCs w:val="0"/>
                <w:i w:val="0"/>
              </w:rPr>
            </w:pPr>
            <w:r w:rsidRPr="006C3F10">
              <w:rPr>
                <w:b/>
                <w:bCs w:val="0"/>
              </w:rPr>
              <w:t xml:space="preserve">Month of Open-Label </w:t>
            </w:r>
            <w:proofErr w:type="spellStart"/>
            <w:r w:rsidRPr="006C3F10">
              <w:rPr>
                <w:b/>
                <w:bCs w:val="0"/>
              </w:rPr>
              <w:t>Droxidopa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4" w:space="0" w:color="auto"/>
              <w:right w:val="nil"/>
            </w:tcBorders>
            <w:vAlign w:val="bottom"/>
          </w:tcPr>
          <w:p w:rsidR="005F1127" w:rsidRPr="00735F85" w:rsidRDefault="005F1127" w:rsidP="00AC2AEB">
            <w:pPr>
              <w:jc w:val="center"/>
              <w:rPr>
                <w:b/>
                <w:bCs w:val="0"/>
                <w:i w:val="0"/>
                <w:iCs w:val="0"/>
              </w:rPr>
            </w:pPr>
            <w:r>
              <w:rPr>
                <w:b/>
                <w:bCs w:val="0"/>
              </w:rPr>
              <w:t>n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127" w:rsidRPr="00735F85" w:rsidRDefault="005F1127" w:rsidP="00AC2AEB">
            <w:pPr>
              <w:jc w:val="center"/>
              <w:rPr>
                <w:b/>
                <w:bCs w:val="0"/>
                <w:i w:val="0"/>
              </w:rPr>
            </w:pPr>
            <w:r w:rsidRPr="006C3F10">
              <w:rPr>
                <w:b/>
                <w:bCs w:val="0"/>
              </w:rPr>
              <w:t>SBP, mmHg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27" w:rsidRPr="00735F85" w:rsidRDefault="005F1127" w:rsidP="00AC2AEB">
            <w:pPr>
              <w:jc w:val="center"/>
              <w:rPr>
                <w:b/>
                <w:bCs w:val="0"/>
                <w:i w:val="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1127" w:rsidRPr="00735F85" w:rsidRDefault="005F1127" w:rsidP="00AC2AEB">
            <w:pPr>
              <w:jc w:val="center"/>
              <w:rPr>
                <w:b/>
                <w:bCs w:val="0"/>
                <w:i w:val="0"/>
              </w:rPr>
            </w:pPr>
            <w:r w:rsidRPr="006C3F10">
              <w:rPr>
                <w:b/>
                <w:bCs w:val="0"/>
              </w:rPr>
              <w:t>DBP, mmHg</w:t>
            </w:r>
          </w:p>
        </w:tc>
      </w:tr>
      <w:tr w:rsidR="005F1127" w:rsidRPr="005946BC" w:rsidTr="00AC2AEB"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5F1127" w:rsidRPr="005946BC" w:rsidRDefault="005F1127" w:rsidP="00AC2AEB">
            <w:pPr>
              <w:rPr>
                <w:b/>
                <w:bCs w:val="0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/>
                <w:bCs w:val="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1127" w:rsidRPr="005946BC" w:rsidRDefault="005F1127" w:rsidP="00AC2AEB">
            <w:pPr>
              <w:jc w:val="center"/>
              <w:rPr>
                <w:b/>
                <w:bCs w:val="0"/>
              </w:rPr>
            </w:pPr>
            <w:r w:rsidRPr="005946BC">
              <w:rPr>
                <w:b/>
                <w:bCs w:val="0"/>
                <w:iCs/>
              </w:rPr>
              <w:t>SBP Value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1127" w:rsidRPr="005946BC" w:rsidRDefault="005F1127" w:rsidP="00AC2AEB">
            <w:pPr>
              <w:jc w:val="center"/>
              <w:rPr>
                <w:b/>
                <w:bCs w:val="0"/>
              </w:rPr>
            </w:pPr>
            <w:r w:rsidRPr="005946BC">
              <w:rPr>
                <w:b/>
                <w:bCs w:val="0"/>
              </w:rPr>
              <w:t>Change From Baseline</w:t>
            </w:r>
          </w:p>
        </w:tc>
        <w:tc>
          <w:tcPr>
            <w:tcW w:w="258" w:type="dxa"/>
            <w:tcBorders>
              <w:top w:val="nil"/>
              <w:bottom w:val="single" w:sz="4" w:space="0" w:color="auto"/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/>
                <w:bCs w:val="0"/>
                <w:iCs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1127" w:rsidRPr="005946BC" w:rsidRDefault="005F1127" w:rsidP="00AC2AEB">
            <w:pPr>
              <w:jc w:val="center"/>
              <w:rPr>
                <w:b/>
                <w:bCs w:val="0"/>
              </w:rPr>
            </w:pPr>
            <w:r w:rsidRPr="005946BC">
              <w:rPr>
                <w:b/>
                <w:bCs w:val="0"/>
                <w:iCs/>
              </w:rPr>
              <w:t>DBP Value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F1127" w:rsidRPr="005946BC" w:rsidRDefault="005F1127" w:rsidP="00AC2AEB">
            <w:pPr>
              <w:jc w:val="center"/>
              <w:rPr>
                <w:b/>
                <w:bCs w:val="0"/>
              </w:rPr>
            </w:pPr>
            <w:r w:rsidRPr="005946BC">
              <w:rPr>
                <w:b/>
                <w:bCs w:val="0"/>
              </w:rPr>
              <w:t>Change From Baseline</w:t>
            </w:r>
          </w:p>
        </w:tc>
      </w:tr>
      <w:tr w:rsidR="005F1127" w:rsidRPr="005946BC" w:rsidTr="00AC2AEB">
        <w:tc>
          <w:tcPr>
            <w:tcW w:w="1752" w:type="dxa"/>
            <w:tcBorders>
              <w:top w:val="single" w:sz="4" w:space="0" w:color="auto"/>
              <w:bottom w:val="nil"/>
            </w:tcBorders>
          </w:tcPr>
          <w:p w:rsidR="005F1127" w:rsidRPr="005946BC" w:rsidRDefault="005F1127" w:rsidP="00AC2AEB">
            <w:pPr>
              <w:rPr>
                <w:bCs w:val="0"/>
              </w:rPr>
            </w:pPr>
            <w:r w:rsidRPr="005946BC">
              <w:rPr>
                <w:bCs w:val="0"/>
              </w:rPr>
              <w:t>Baseline</w:t>
            </w:r>
            <w:r w:rsidRPr="005946BC">
              <w:rPr>
                <w:bCs w:val="0"/>
                <w:vertAlign w:val="superscript"/>
              </w:rPr>
              <w:t>†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102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87.9 (</w:t>
            </w:r>
            <w:r>
              <w:rPr>
                <w:bCs w:val="0"/>
              </w:rPr>
              <w:t>17.5</w:t>
            </w:r>
            <w:r w:rsidRPr="005946BC">
              <w:rPr>
                <w:bCs w:val="0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</w:p>
        </w:tc>
        <w:tc>
          <w:tcPr>
            <w:tcW w:w="258" w:type="dxa"/>
            <w:tcBorders>
              <w:top w:val="single" w:sz="4" w:space="0" w:color="auto"/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</w:p>
        </w:tc>
        <w:tc>
          <w:tcPr>
            <w:tcW w:w="2382" w:type="dxa"/>
            <w:tcBorders>
              <w:lef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57.6 (11.2)</w:t>
            </w:r>
          </w:p>
        </w:tc>
        <w:tc>
          <w:tcPr>
            <w:tcW w:w="1506" w:type="dxa"/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</w:p>
        </w:tc>
      </w:tr>
      <w:tr w:rsidR="005F1127" w:rsidRPr="005946BC" w:rsidTr="00AC2AEB">
        <w:tc>
          <w:tcPr>
            <w:tcW w:w="1752" w:type="dxa"/>
            <w:tcBorders>
              <w:top w:val="nil"/>
            </w:tcBorders>
          </w:tcPr>
          <w:p w:rsidR="005F1127" w:rsidRPr="005946BC" w:rsidRDefault="005F1127" w:rsidP="00AC2AEB">
            <w:pPr>
              <w:rPr>
                <w:bCs w:val="0"/>
              </w:rPr>
            </w:pPr>
            <w:r w:rsidRPr="005946BC">
              <w:rPr>
                <w:bCs w:val="0"/>
              </w:rPr>
              <w:t>1</w:t>
            </w:r>
          </w:p>
        </w:tc>
        <w:tc>
          <w:tcPr>
            <w:tcW w:w="576" w:type="dxa"/>
            <w:tcBorders>
              <w:top w:val="nil"/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101.8 (24.3)</w:t>
            </w:r>
          </w:p>
        </w:tc>
        <w:tc>
          <w:tcPr>
            <w:tcW w:w="1506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13.7 (21.1)</w:t>
            </w:r>
          </w:p>
        </w:tc>
        <w:tc>
          <w:tcPr>
            <w:tcW w:w="258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</w:p>
        </w:tc>
        <w:tc>
          <w:tcPr>
            <w:tcW w:w="2382" w:type="dxa"/>
            <w:tcBorders>
              <w:lef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64.6 (13.6)</w:t>
            </w:r>
          </w:p>
        </w:tc>
        <w:tc>
          <w:tcPr>
            <w:tcW w:w="1506" w:type="dxa"/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6.9 (12.5)</w:t>
            </w:r>
          </w:p>
        </w:tc>
      </w:tr>
      <w:tr w:rsidR="005F1127" w:rsidRPr="005946BC" w:rsidTr="00AC2AEB">
        <w:tc>
          <w:tcPr>
            <w:tcW w:w="1752" w:type="dxa"/>
          </w:tcPr>
          <w:p w:rsidR="005F1127" w:rsidRPr="005946BC" w:rsidRDefault="005F1127" w:rsidP="00AC2AEB">
            <w:pPr>
              <w:rPr>
                <w:bCs w:val="0"/>
              </w:rPr>
            </w:pPr>
            <w:r w:rsidRPr="005946BC">
              <w:rPr>
                <w:bCs w:val="0"/>
              </w:rPr>
              <w:t>2</w:t>
            </w:r>
          </w:p>
        </w:tc>
        <w:tc>
          <w:tcPr>
            <w:tcW w:w="576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98.1 (24.6)</w:t>
            </w:r>
          </w:p>
        </w:tc>
        <w:tc>
          <w:tcPr>
            <w:tcW w:w="1506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9.6 (23.0)</w:t>
            </w:r>
          </w:p>
        </w:tc>
        <w:tc>
          <w:tcPr>
            <w:tcW w:w="258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</w:p>
        </w:tc>
        <w:tc>
          <w:tcPr>
            <w:tcW w:w="2382" w:type="dxa"/>
            <w:tcBorders>
              <w:lef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61.2 (15.1)</w:t>
            </w:r>
          </w:p>
        </w:tc>
        <w:tc>
          <w:tcPr>
            <w:tcW w:w="1506" w:type="dxa"/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3.3 (13.5)</w:t>
            </w:r>
          </w:p>
        </w:tc>
      </w:tr>
      <w:tr w:rsidR="005F1127" w:rsidRPr="005946BC" w:rsidTr="00AC2AEB">
        <w:tc>
          <w:tcPr>
            <w:tcW w:w="1752" w:type="dxa"/>
          </w:tcPr>
          <w:p w:rsidR="005F1127" w:rsidRPr="005946BC" w:rsidRDefault="005F1127" w:rsidP="00AC2AEB">
            <w:pPr>
              <w:rPr>
                <w:bCs w:val="0"/>
              </w:rPr>
            </w:pPr>
            <w:r w:rsidRPr="005946BC">
              <w:rPr>
                <w:bCs w:val="0"/>
              </w:rPr>
              <w:t>3</w:t>
            </w:r>
          </w:p>
        </w:tc>
        <w:tc>
          <w:tcPr>
            <w:tcW w:w="576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103.1 (24.0)</w:t>
            </w:r>
          </w:p>
        </w:tc>
        <w:tc>
          <w:tcPr>
            <w:tcW w:w="1506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14.0 (22.5)</w:t>
            </w:r>
          </w:p>
        </w:tc>
        <w:tc>
          <w:tcPr>
            <w:tcW w:w="258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</w:p>
        </w:tc>
        <w:tc>
          <w:tcPr>
            <w:tcW w:w="2382" w:type="dxa"/>
            <w:tcBorders>
              <w:lef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64.4 (12.7)</w:t>
            </w:r>
          </w:p>
        </w:tc>
        <w:tc>
          <w:tcPr>
            <w:tcW w:w="1506" w:type="dxa"/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5.9 (11.7)</w:t>
            </w:r>
          </w:p>
        </w:tc>
      </w:tr>
      <w:tr w:rsidR="005F1127" w:rsidRPr="005946BC" w:rsidTr="00AC2AEB">
        <w:tc>
          <w:tcPr>
            <w:tcW w:w="1752" w:type="dxa"/>
          </w:tcPr>
          <w:p w:rsidR="005F1127" w:rsidRPr="005946BC" w:rsidRDefault="005F1127" w:rsidP="00AC2AEB">
            <w:pPr>
              <w:rPr>
                <w:bCs w:val="0"/>
              </w:rPr>
            </w:pPr>
            <w:r w:rsidRPr="005946BC">
              <w:rPr>
                <w:bCs w:val="0"/>
              </w:rPr>
              <w:t>6</w:t>
            </w:r>
          </w:p>
        </w:tc>
        <w:tc>
          <w:tcPr>
            <w:tcW w:w="576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67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101.2</w:t>
            </w:r>
            <w:r>
              <w:rPr>
                <w:bCs w:val="0"/>
              </w:rPr>
              <w:t xml:space="preserve"> </w:t>
            </w:r>
            <w:r w:rsidRPr="005946BC">
              <w:rPr>
                <w:bCs w:val="0"/>
              </w:rPr>
              <w:t>(25.7)</w:t>
            </w:r>
          </w:p>
        </w:tc>
        <w:tc>
          <w:tcPr>
            <w:tcW w:w="1506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10.4 (25.4)</w:t>
            </w:r>
          </w:p>
        </w:tc>
        <w:tc>
          <w:tcPr>
            <w:tcW w:w="258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</w:p>
        </w:tc>
        <w:tc>
          <w:tcPr>
            <w:tcW w:w="2382" w:type="dxa"/>
            <w:tcBorders>
              <w:lef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62.8 (16.0)</w:t>
            </w:r>
          </w:p>
        </w:tc>
        <w:tc>
          <w:tcPr>
            <w:tcW w:w="1506" w:type="dxa"/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3.5 (15.0)</w:t>
            </w:r>
          </w:p>
        </w:tc>
      </w:tr>
      <w:tr w:rsidR="005F1127" w:rsidRPr="005946BC" w:rsidTr="00AC2AEB">
        <w:tc>
          <w:tcPr>
            <w:tcW w:w="1752" w:type="dxa"/>
          </w:tcPr>
          <w:p w:rsidR="005F1127" w:rsidRPr="005946BC" w:rsidRDefault="005F1127" w:rsidP="00AC2AEB">
            <w:pPr>
              <w:rPr>
                <w:bCs w:val="0"/>
              </w:rPr>
            </w:pPr>
            <w:r w:rsidRPr="005946BC">
              <w:rPr>
                <w:bCs w:val="0"/>
              </w:rPr>
              <w:t>9</w:t>
            </w:r>
          </w:p>
        </w:tc>
        <w:tc>
          <w:tcPr>
            <w:tcW w:w="576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64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97.5 (20.0)</w:t>
            </w:r>
          </w:p>
        </w:tc>
        <w:tc>
          <w:tcPr>
            <w:tcW w:w="1506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6.9 (17.5)</w:t>
            </w:r>
          </w:p>
        </w:tc>
        <w:tc>
          <w:tcPr>
            <w:tcW w:w="258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</w:p>
        </w:tc>
        <w:tc>
          <w:tcPr>
            <w:tcW w:w="2382" w:type="dxa"/>
            <w:tcBorders>
              <w:lef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61.6 (12.2)</w:t>
            </w:r>
          </w:p>
        </w:tc>
        <w:tc>
          <w:tcPr>
            <w:tcW w:w="1506" w:type="dxa"/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2.3 (11.1)</w:t>
            </w:r>
          </w:p>
        </w:tc>
      </w:tr>
      <w:tr w:rsidR="005F1127" w:rsidRPr="005946BC" w:rsidTr="00AC2AEB">
        <w:tc>
          <w:tcPr>
            <w:tcW w:w="1752" w:type="dxa"/>
          </w:tcPr>
          <w:p w:rsidR="005F1127" w:rsidRPr="005946BC" w:rsidRDefault="005F1127" w:rsidP="00AC2AEB">
            <w:pPr>
              <w:rPr>
                <w:bCs w:val="0"/>
              </w:rPr>
            </w:pPr>
            <w:r w:rsidRPr="005946BC">
              <w:rPr>
                <w:bCs w:val="0"/>
              </w:rPr>
              <w:t>12</w:t>
            </w:r>
          </w:p>
        </w:tc>
        <w:tc>
          <w:tcPr>
            <w:tcW w:w="576" w:type="dxa"/>
            <w:tcBorders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000000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101.9</w:t>
            </w:r>
            <w:r>
              <w:rPr>
                <w:bCs w:val="0"/>
              </w:rPr>
              <w:t xml:space="preserve"> </w:t>
            </w:r>
            <w:r w:rsidRPr="005946BC">
              <w:rPr>
                <w:bCs w:val="0"/>
              </w:rPr>
              <w:t>(26.2)</w:t>
            </w:r>
          </w:p>
        </w:tc>
        <w:tc>
          <w:tcPr>
            <w:tcW w:w="1506" w:type="dxa"/>
            <w:tcBorders>
              <w:bottom w:val="single" w:sz="12" w:space="0" w:color="000000"/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12.3 (26.6)</w:t>
            </w:r>
          </w:p>
        </w:tc>
        <w:tc>
          <w:tcPr>
            <w:tcW w:w="258" w:type="dxa"/>
            <w:tcBorders>
              <w:bottom w:val="single" w:sz="12" w:space="0" w:color="000000"/>
              <w:right w:val="nil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</w:p>
        </w:tc>
        <w:tc>
          <w:tcPr>
            <w:tcW w:w="2382" w:type="dxa"/>
            <w:tcBorders>
              <w:left w:val="nil"/>
              <w:bottom w:val="single" w:sz="12" w:space="0" w:color="000000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63.0 (15.0)</w:t>
            </w:r>
          </w:p>
        </w:tc>
        <w:tc>
          <w:tcPr>
            <w:tcW w:w="1506" w:type="dxa"/>
            <w:tcBorders>
              <w:bottom w:val="single" w:sz="12" w:space="0" w:color="000000"/>
            </w:tcBorders>
          </w:tcPr>
          <w:p w:rsidR="005F1127" w:rsidRPr="005946BC" w:rsidRDefault="005F1127" w:rsidP="00AC2AEB">
            <w:pPr>
              <w:jc w:val="center"/>
              <w:rPr>
                <w:bCs w:val="0"/>
              </w:rPr>
            </w:pPr>
            <w:r w:rsidRPr="005946BC">
              <w:rPr>
                <w:bCs w:val="0"/>
              </w:rPr>
              <w:t>4.3 (13.7)</w:t>
            </w:r>
          </w:p>
        </w:tc>
      </w:tr>
    </w:tbl>
    <w:p w:rsidR="005F1127" w:rsidRPr="005946BC" w:rsidRDefault="005F1127" w:rsidP="005F1127">
      <w:pPr>
        <w:rPr>
          <w:bCs w:val="0"/>
          <w:sz w:val="20"/>
        </w:rPr>
      </w:pPr>
      <w:r w:rsidRPr="005946BC">
        <w:rPr>
          <w:bCs w:val="0"/>
          <w:sz w:val="20"/>
        </w:rPr>
        <w:t>DBP</w:t>
      </w:r>
      <w:r>
        <w:rPr>
          <w:bCs w:val="0"/>
          <w:sz w:val="20"/>
        </w:rPr>
        <w:t>=</w:t>
      </w:r>
      <w:r w:rsidRPr="005946BC">
        <w:rPr>
          <w:bCs w:val="0"/>
          <w:sz w:val="20"/>
        </w:rPr>
        <w:t xml:space="preserve">diastolic blood pressure; </w:t>
      </w:r>
      <w:r>
        <w:rPr>
          <w:bCs w:val="0"/>
          <w:sz w:val="20"/>
        </w:rPr>
        <w:t xml:space="preserve">OST=orthostatic standing test; </w:t>
      </w:r>
      <w:r w:rsidRPr="005946BC">
        <w:rPr>
          <w:bCs w:val="0"/>
          <w:sz w:val="20"/>
        </w:rPr>
        <w:t>SBP</w:t>
      </w:r>
      <w:r>
        <w:rPr>
          <w:bCs w:val="0"/>
          <w:sz w:val="20"/>
        </w:rPr>
        <w:t>=</w:t>
      </w:r>
      <w:r w:rsidRPr="005946BC">
        <w:rPr>
          <w:bCs w:val="0"/>
          <w:sz w:val="20"/>
        </w:rPr>
        <w:t>systolic blood pressure.</w:t>
      </w:r>
    </w:p>
    <w:p w:rsidR="005F1127" w:rsidRPr="005946BC" w:rsidRDefault="005F1127" w:rsidP="005F1127">
      <w:pPr>
        <w:rPr>
          <w:sz w:val="20"/>
          <w:szCs w:val="20"/>
        </w:rPr>
      </w:pPr>
      <w:r w:rsidRPr="005946BC">
        <w:rPr>
          <w:bCs w:val="0"/>
          <w:sz w:val="20"/>
          <w:szCs w:val="20"/>
        </w:rPr>
        <w:t>*</w:t>
      </w:r>
      <w:r w:rsidRPr="005946BC">
        <w:rPr>
          <w:sz w:val="20"/>
          <w:szCs w:val="20"/>
        </w:rPr>
        <w:t xml:space="preserve">Data expressed as mean (SD), excluding missing values, were collected during the </w:t>
      </w:r>
      <w:r>
        <w:rPr>
          <w:sz w:val="20"/>
          <w:szCs w:val="20"/>
        </w:rPr>
        <w:t>OST</w:t>
      </w:r>
      <w:r w:rsidRPr="005946BC">
        <w:rPr>
          <w:sz w:val="20"/>
          <w:szCs w:val="20"/>
        </w:rPr>
        <w:t xml:space="preserve"> in all patients who received </w:t>
      </w:r>
      <w:r>
        <w:rPr>
          <w:sz w:val="20"/>
          <w:szCs w:val="20"/>
        </w:rPr>
        <w:t>≥</w:t>
      </w:r>
      <w:r w:rsidRPr="005946BC">
        <w:rPr>
          <w:sz w:val="20"/>
          <w:szCs w:val="20"/>
        </w:rPr>
        <w:t xml:space="preserve">1 dose of </w:t>
      </w:r>
      <w:proofErr w:type="spellStart"/>
      <w:r w:rsidRPr="005946BC">
        <w:rPr>
          <w:sz w:val="20"/>
          <w:szCs w:val="20"/>
        </w:rPr>
        <w:t>droxidopa</w:t>
      </w:r>
      <w:proofErr w:type="spellEnd"/>
      <w:r w:rsidRPr="005946BC">
        <w:rPr>
          <w:sz w:val="20"/>
          <w:szCs w:val="20"/>
        </w:rPr>
        <w:t xml:space="preserve">. The </w:t>
      </w:r>
      <w:r>
        <w:rPr>
          <w:sz w:val="20"/>
          <w:szCs w:val="20"/>
        </w:rPr>
        <w:t>OST</w:t>
      </w:r>
      <w:r w:rsidRPr="005946BC">
        <w:rPr>
          <w:sz w:val="20"/>
          <w:szCs w:val="20"/>
        </w:rPr>
        <w:t xml:space="preserve"> was conducted 3 hours after </w:t>
      </w:r>
      <w:proofErr w:type="spellStart"/>
      <w:r w:rsidRPr="005946BC">
        <w:rPr>
          <w:sz w:val="20"/>
          <w:szCs w:val="20"/>
        </w:rPr>
        <w:t>droxidopa</w:t>
      </w:r>
      <w:proofErr w:type="spellEnd"/>
      <w:r w:rsidRPr="005946BC">
        <w:rPr>
          <w:sz w:val="20"/>
          <w:szCs w:val="20"/>
        </w:rPr>
        <w:t xml:space="preserve"> administration.</w:t>
      </w:r>
    </w:p>
    <w:p w:rsidR="005F1127" w:rsidRPr="005946BC" w:rsidRDefault="005F1127" w:rsidP="005F1127">
      <w:pPr>
        <w:rPr>
          <w:rStyle w:val="Strong"/>
        </w:rPr>
      </w:pPr>
      <w:r w:rsidRPr="005946BC">
        <w:rPr>
          <w:bCs w:val="0"/>
          <w:sz w:val="20"/>
          <w:vertAlign w:val="superscript"/>
        </w:rPr>
        <w:t>†</w:t>
      </w:r>
      <w:r w:rsidRPr="005946BC">
        <w:rPr>
          <w:bCs w:val="0"/>
          <w:sz w:val="20"/>
        </w:rPr>
        <w:t xml:space="preserve">Baseline values were measured before </w:t>
      </w:r>
      <w:r>
        <w:rPr>
          <w:bCs w:val="0"/>
          <w:sz w:val="20"/>
        </w:rPr>
        <w:t xml:space="preserve">the </w:t>
      </w:r>
      <w:r w:rsidRPr="005946BC">
        <w:rPr>
          <w:bCs w:val="0"/>
          <w:sz w:val="20"/>
        </w:rPr>
        <w:t xml:space="preserve">first dose of study treatment in Study NOH301 or NOH302 unless the last visit </w:t>
      </w:r>
      <w:r>
        <w:rPr>
          <w:bCs w:val="0"/>
          <w:sz w:val="20"/>
        </w:rPr>
        <w:t xml:space="preserve">in Study NOH301 or NOH 302 </w:t>
      </w:r>
      <w:r w:rsidRPr="005946BC">
        <w:rPr>
          <w:bCs w:val="0"/>
          <w:sz w:val="20"/>
        </w:rPr>
        <w:t xml:space="preserve">occurred </w:t>
      </w:r>
      <w:r>
        <w:rPr>
          <w:bCs w:val="0"/>
          <w:sz w:val="20"/>
        </w:rPr>
        <w:t xml:space="preserve">&gt;1 </w:t>
      </w:r>
      <w:r w:rsidRPr="005946BC">
        <w:rPr>
          <w:bCs w:val="0"/>
          <w:sz w:val="20"/>
        </w:rPr>
        <w:t>month before the start of the current study.</w:t>
      </w:r>
    </w:p>
    <w:p w:rsidR="005F1127" w:rsidRPr="005946BC" w:rsidRDefault="005F1127" w:rsidP="005F1127">
      <w:pPr>
        <w:rPr>
          <w:rStyle w:val="Strong"/>
          <w:i/>
        </w:rPr>
      </w:pPr>
      <w:proofErr w:type="gramStart"/>
      <w:r w:rsidRPr="005946BC">
        <w:rPr>
          <w:rStyle w:val="Strong"/>
        </w:rPr>
        <w:t>Supplementary Table 2.</w:t>
      </w:r>
      <w:proofErr w:type="gramEnd"/>
      <w:r w:rsidRPr="005946BC">
        <w:rPr>
          <w:rStyle w:val="Strong"/>
        </w:rPr>
        <w:t xml:space="preserve"> OHQ Composite Score and Orthostatic Standing Test Results During the DB</w:t>
      </w:r>
      <w:r>
        <w:rPr>
          <w:rStyle w:val="Strong"/>
        </w:rPr>
        <w:t xml:space="preserve"> </w:t>
      </w:r>
      <w:r w:rsidRPr="005946BC">
        <w:rPr>
          <w:rStyle w:val="Strong"/>
        </w:rPr>
        <w:t>2</w:t>
      </w:r>
      <w:r>
        <w:rPr>
          <w:rStyle w:val="Strong"/>
        </w:rPr>
        <w:t>-</w:t>
      </w:r>
      <w:r w:rsidRPr="005946BC">
        <w:rPr>
          <w:rStyle w:val="Strong"/>
        </w:rPr>
        <w:t>Week Withdrawal Period*</w:t>
      </w:r>
    </w:p>
    <w:tbl>
      <w:tblPr>
        <w:tblStyle w:val="TableClassic1"/>
        <w:tblW w:w="4466" w:type="pct"/>
        <w:tblLayout w:type="fixed"/>
        <w:tblLook w:val="0620" w:firstRow="1" w:lastRow="0" w:firstColumn="0" w:lastColumn="0" w:noHBand="1" w:noVBand="1"/>
      </w:tblPr>
      <w:tblGrid>
        <w:gridCol w:w="4133"/>
        <w:gridCol w:w="1497"/>
        <w:gridCol w:w="1948"/>
        <w:gridCol w:w="975"/>
      </w:tblGrid>
      <w:tr w:rsidR="005F1127" w:rsidRPr="005946BC" w:rsidTr="00AC2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i w:val="0"/>
                <w:iCs w:val="0"/>
              </w:rPr>
            </w:pP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i w:val="0"/>
                <w:iCs w:val="0"/>
              </w:rPr>
            </w:pPr>
            <w:proofErr w:type="spellStart"/>
            <w:r w:rsidRPr="005946BC">
              <w:rPr>
                <w:rStyle w:val="Strong"/>
                <w:i w:val="0"/>
              </w:rPr>
              <w:t>Droxidopa</w:t>
            </w:r>
            <w:proofErr w:type="spellEnd"/>
            <w:r w:rsidRPr="005946BC">
              <w:rPr>
                <w:rStyle w:val="Strong"/>
                <w:i w:val="0"/>
              </w:rPr>
              <w:t xml:space="preserve"> (n=38)</w:t>
            </w:r>
          </w:p>
        </w:tc>
        <w:tc>
          <w:tcPr>
            <w:tcW w:w="1139" w:type="pct"/>
          </w:tcPr>
          <w:p w:rsidR="005F1127" w:rsidRDefault="005F1127" w:rsidP="00AC2AEB">
            <w:pPr>
              <w:jc w:val="center"/>
              <w:rPr>
                <w:rStyle w:val="Strong"/>
                <w:i w:val="0"/>
              </w:rPr>
            </w:pPr>
            <w:r>
              <w:rPr>
                <w:rStyle w:val="Strong"/>
                <w:i w:val="0"/>
              </w:rPr>
              <w:t>Placebo</w:t>
            </w:r>
          </w:p>
          <w:p w:rsidR="005F1127" w:rsidRPr="005946BC" w:rsidRDefault="005F1127" w:rsidP="00AC2AEB">
            <w:pPr>
              <w:spacing w:before="0"/>
              <w:jc w:val="center"/>
              <w:rPr>
                <w:rStyle w:val="Strong"/>
                <w:i w:val="0"/>
                <w:iCs w:val="0"/>
              </w:rPr>
            </w:pPr>
            <w:r w:rsidRPr="005946BC">
              <w:rPr>
                <w:rStyle w:val="Strong"/>
                <w:i w:val="0"/>
              </w:rPr>
              <w:t>(n=37)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i w:val="0"/>
                <w:iCs w:val="0"/>
              </w:rPr>
            </w:pPr>
            <w:r w:rsidRPr="005946BC">
              <w:rPr>
                <w:rStyle w:val="Strong"/>
              </w:rPr>
              <w:t xml:space="preserve">P </w:t>
            </w:r>
            <w:r w:rsidRPr="005946BC">
              <w:rPr>
                <w:rStyle w:val="Strong"/>
                <w:i w:val="0"/>
              </w:rPr>
              <w:t>Value</w:t>
            </w:r>
            <w:r w:rsidRPr="005946BC">
              <w:rPr>
                <w:rStyle w:val="Strong"/>
                <w:i w:val="0"/>
                <w:vertAlign w:val="superscript"/>
              </w:rPr>
              <w:t>†</w:t>
            </w: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  <w:i/>
                <w:iCs/>
              </w:rPr>
            </w:pPr>
            <w:r w:rsidRPr="005946BC">
              <w:rPr>
                <w:rStyle w:val="Strong"/>
              </w:rPr>
              <w:t>OHQ composite score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ab/>
              <w:t>Baseline</w:t>
            </w:r>
            <w:r w:rsidRPr="005946BC">
              <w:rPr>
                <w:vertAlign w:val="superscript"/>
              </w:rPr>
              <w:t>‡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6.38 (1.85)</w:t>
            </w: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6.27 (1.95)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ab/>
              <w:t>Randomization</w:t>
            </w:r>
            <w:r w:rsidRPr="005946BC">
              <w:rPr>
                <w:rFonts w:cs="Palatino"/>
                <w:color w:val="221E1F"/>
                <w:vertAlign w:val="superscript"/>
              </w:rPr>
              <w:t>§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3.26 (2.58)</w:t>
            </w: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2.92 (2.65)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ab/>
              <w:t>End of 2-week withdrawal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3.82 (2.64)</w:t>
            </w: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3.83 (2.78)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ab/>
              <w:t xml:space="preserve">Change </w:t>
            </w:r>
            <w:r>
              <w:rPr>
                <w:rStyle w:val="Strong"/>
              </w:rPr>
              <w:t>f</w:t>
            </w:r>
            <w:r w:rsidRPr="005946BC">
              <w:rPr>
                <w:rStyle w:val="Strong"/>
              </w:rPr>
              <w:t xml:space="preserve">rom </w:t>
            </w:r>
            <w:r>
              <w:rPr>
                <w:rStyle w:val="Strong"/>
              </w:rPr>
              <w:t>r</w:t>
            </w:r>
            <w:r w:rsidRPr="005946BC">
              <w:rPr>
                <w:rStyle w:val="Strong"/>
              </w:rPr>
              <w:t>andomization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0.57 (1.89)</w:t>
            </w: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0.90 (1.55)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  <w:i/>
              </w:rPr>
            </w:pPr>
            <w:r w:rsidRPr="005946BC">
              <w:rPr>
                <w:rStyle w:val="Strong"/>
              </w:rPr>
              <w:t>0.438</w:t>
            </w: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Standing SBP, mmHg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ab/>
              <w:t>Baseline</w:t>
            </w:r>
            <w:r w:rsidRPr="005946BC">
              <w:rPr>
                <w:vertAlign w:val="superscript"/>
              </w:rPr>
              <w:t>‡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89.4 (15.2)</w:t>
            </w: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89.8 (19.8)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ab/>
              <w:t>Randomization</w:t>
            </w:r>
            <w:r w:rsidRPr="005946BC">
              <w:rPr>
                <w:rFonts w:cs="Palatino"/>
                <w:color w:val="221E1F"/>
                <w:vertAlign w:val="superscript"/>
              </w:rPr>
              <w:t>§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104.1 (25.0)</w:t>
            </w: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101.9 (24.3)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ab/>
              <w:t>End of 2-week withdrawal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95.7 (19.8)</w:t>
            </w: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101.8 (24.2)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ab/>
              <w:t xml:space="preserve">Change </w:t>
            </w:r>
            <w:r>
              <w:rPr>
                <w:rStyle w:val="Strong"/>
              </w:rPr>
              <w:t>f</w:t>
            </w:r>
            <w:r w:rsidRPr="005946BC">
              <w:rPr>
                <w:rStyle w:val="Strong"/>
              </w:rPr>
              <w:t xml:space="preserve">rom </w:t>
            </w:r>
            <w:r>
              <w:rPr>
                <w:rStyle w:val="Strong"/>
              </w:rPr>
              <w:t>r</w:t>
            </w:r>
            <w:r w:rsidRPr="005946BC">
              <w:rPr>
                <w:rStyle w:val="Strong"/>
              </w:rPr>
              <w:t>andomization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–8.4 (26.6)</w:t>
            </w: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0.0 (18.5)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  <w:i/>
              </w:rPr>
            </w:pPr>
            <w:r w:rsidRPr="005946BC">
              <w:rPr>
                <w:rStyle w:val="Strong"/>
              </w:rPr>
              <w:t>0.286</w:t>
            </w: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Change in standing SBP,</w:t>
            </w:r>
            <w:r w:rsidRPr="005946BC">
              <w:rPr>
                <w:rFonts w:cs="Palatino"/>
                <w:color w:val="221E1F"/>
                <w:szCs w:val="22"/>
                <w:vertAlign w:val="superscript"/>
              </w:rPr>
              <w:t>||</w:t>
            </w:r>
            <w:r w:rsidRPr="005946BC">
              <w:rPr>
                <w:rStyle w:val="Strong"/>
              </w:rPr>
              <w:t xml:space="preserve"> mmHg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  <w:i/>
              </w:rPr>
            </w:pP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ab/>
              <w:t>Baseline</w:t>
            </w:r>
            <w:r w:rsidRPr="005946BC">
              <w:rPr>
                <w:vertAlign w:val="superscript"/>
              </w:rPr>
              <w:t>‡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–43.3 (21.6)</w:t>
            </w: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–41.8 (27.3)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  <w:i/>
              </w:rPr>
            </w:pPr>
          </w:p>
        </w:tc>
      </w:tr>
      <w:tr w:rsidR="005F1127" w:rsidRPr="005946BC" w:rsidTr="00AC2AEB">
        <w:trPr>
          <w:trHeight w:val="663"/>
        </w:trPr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ab/>
              <w:t>Randomization</w:t>
            </w:r>
            <w:r w:rsidRPr="005946BC">
              <w:rPr>
                <w:rFonts w:cs="Palatino"/>
                <w:color w:val="221E1F"/>
                <w:vertAlign w:val="superscript"/>
              </w:rPr>
              <w:t>§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–38.6 (26.4)</w:t>
            </w: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–34.6 (29.9)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  <w:i/>
              </w:rPr>
            </w:pP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ab/>
              <w:t>End of 2-week withdrawal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–42.7 (26.3)</w:t>
            </w: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–28.3 (24.7)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</w:p>
        </w:tc>
      </w:tr>
      <w:tr w:rsidR="005F1127" w:rsidRPr="005946BC" w:rsidTr="00AC2AEB">
        <w:tc>
          <w:tcPr>
            <w:tcW w:w="2416" w:type="pct"/>
          </w:tcPr>
          <w:p w:rsidR="005F1127" w:rsidRPr="005946BC" w:rsidRDefault="005F1127" w:rsidP="00AC2AEB">
            <w:pPr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ab/>
              <w:t xml:space="preserve">Change </w:t>
            </w:r>
            <w:r>
              <w:rPr>
                <w:rStyle w:val="Strong"/>
              </w:rPr>
              <w:t>f</w:t>
            </w:r>
            <w:r w:rsidRPr="005946BC">
              <w:rPr>
                <w:rStyle w:val="Strong"/>
              </w:rPr>
              <w:t xml:space="preserve">rom </w:t>
            </w:r>
            <w:r>
              <w:rPr>
                <w:rStyle w:val="Strong"/>
              </w:rPr>
              <w:t>r</w:t>
            </w:r>
            <w:r w:rsidRPr="005946BC">
              <w:rPr>
                <w:rStyle w:val="Strong"/>
              </w:rPr>
              <w:t>andomization</w:t>
            </w:r>
          </w:p>
        </w:tc>
        <w:tc>
          <w:tcPr>
            <w:tcW w:w="875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–4.0 (21.4)</w:t>
            </w:r>
          </w:p>
        </w:tc>
        <w:tc>
          <w:tcPr>
            <w:tcW w:w="1139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</w:rPr>
            </w:pPr>
            <w:r w:rsidRPr="005946BC">
              <w:rPr>
                <w:rStyle w:val="Strong"/>
              </w:rPr>
              <w:t>6.3 (20.1)</w:t>
            </w:r>
          </w:p>
        </w:tc>
        <w:tc>
          <w:tcPr>
            <w:tcW w:w="570" w:type="pct"/>
          </w:tcPr>
          <w:p w:rsidR="005F1127" w:rsidRPr="005946BC" w:rsidRDefault="005F1127" w:rsidP="00AC2AEB">
            <w:pPr>
              <w:jc w:val="center"/>
              <w:rPr>
                <w:rStyle w:val="Strong"/>
                <w:b w:val="0"/>
                <w:i/>
              </w:rPr>
            </w:pPr>
            <w:r w:rsidRPr="005946BC">
              <w:rPr>
                <w:rStyle w:val="Strong"/>
              </w:rPr>
              <w:t>0.007</w:t>
            </w:r>
          </w:p>
        </w:tc>
      </w:tr>
    </w:tbl>
    <w:p w:rsidR="005F1127" w:rsidRPr="005946BC" w:rsidRDefault="005F1127" w:rsidP="005F1127">
      <w:pPr>
        <w:rPr>
          <w:rStyle w:val="Strong"/>
          <w:b w:val="0"/>
          <w:sz w:val="20"/>
          <w:szCs w:val="20"/>
        </w:rPr>
      </w:pPr>
      <w:r w:rsidRPr="005946BC">
        <w:rPr>
          <w:rStyle w:val="Strong"/>
          <w:sz w:val="20"/>
        </w:rPr>
        <w:t>DB</w:t>
      </w:r>
      <w:r>
        <w:rPr>
          <w:rStyle w:val="Strong"/>
          <w:sz w:val="20"/>
        </w:rPr>
        <w:t>=</w:t>
      </w:r>
      <w:r w:rsidRPr="005946BC">
        <w:rPr>
          <w:rStyle w:val="Strong"/>
          <w:sz w:val="20"/>
        </w:rPr>
        <w:t>double blind; OHQ</w:t>
      </w:r>
      <w:r>
        <w:rPr>
          <w:rStyle w:val="Strong"/>
          <w:sz w:val="20"/>
          <w:szCs w:val="20"/>
        </w:rPr>
        <w:t>=</w:t>
      </w:r>
      <w:r w:rsidRPr="005946BC">
        <w:rPr>
          <w:rStyle w:val="Strong"/>
          <w:sz w:val="20"/>
          <w:szCs w:val="20"/>
        </w:rPr>
        <w:t>Orthostatic Hypotension Questionnaire; SBP</w:t>
      </w:r>
      <w:r>
        <w:rPr>
          <w:rStyle w:val="Strong"/>
          <w:sz w:val="20"/>
          <w:szCs w:val="20"/>
        </w:rPr>
        <w:t>=</w:t>
      </w:r>
      <w:r w:rsidRPr="005946BC">
        <w:rPr>
          <w:rStyle w:val="Strong"/>
          <w:sz w:val="20"/>
          <w:szCs w:val="20"/>
        </w:rPr>
        <w:t>systolic blood pressure.</w:t>
      </w:r>
    </w:p>
    <w:p w:rsidR="005F1127" w:rsidRPr="005946BC" w:rsidRDefault="005F1127" w:rsidP="005F1127">
      <w:pPr>
        <w:rPr>
          <w:rStyle w:val="Strong"/>
          <w:b w:val="0"/>
          <w:sz w:val="20"/>
          <w:szCs w:val="20"/>
        </w:rPr>
      </w:pPr>
      <w:r w:rsidRPr="005946BC">
        <w:rPr>
          <w:rStyle w:val="Strong"/>
          <w:sz w:val="20"/>
          <w:szCs w:val="20"/>
        </w:rPr>
        <w:lastRenderedPageBreak/>
        <w:t>*The patient population included all randomized patients who received ≥1 dose of study drug, with the last observation carried forward. Results are shown as mean (SD).</w:t>
      </w:r>
    </w:p>
    <w:p w:rsidR="005F1127" w:rsidRPr="005946BC" w:rsidRDefault="005F1127" w:rsidP="005F1127">
      <w:pPr>
        <w:rPr>
          <w:sz w:val="20"/>
          <w:szCs w:val="20"/>
        </w:rPr>
      </w:pPr>
      <w:r w:rsidRPr="005946BC">
        <w:rPr>
          <w:rStyle w:val="Strong"/>
          <w:sz w:val="20"/>
          <w:szCs w:val="20"/>
          <w:vertAlign w:val="superscript"/>
        </w:rPr>
        <w:t>†</w:t>
      </w:r>
      <w:r w:rsidRPr="005946BC">
        <w:rPr>
          <w:i/>
          <w:sz w:val="20"/>
          <w:szCs w:val="20"/>
        </w:rPr>
        <w:t xml:space="preserve">P </w:t>
      </w:r>
      <w:r w:rsidRPr="005946BC">
        <w:rPr>
          <w:sz w:val="20"/>
          <w:szCs w:val="20"/>
        </w:rPr>
        <w:t>values are based on a nonparametric analysis of covariance model using Mantel-</w:t>
      </w:r>
      <w:proofErr w:type="spellStart"/>
      <w:r w:rsidRPr="005946BC">
        <w:rPr>
          <w:sz w:val="20"/>
          <w:szCs w:val="20"/>
        </w:rPr>
        <w:t>Haenszel</w:t>
      </w:r>
      <w:proofErr w:type="spellEnd"/>
      <w:r w:rsidRPr="005946BC">
        <w:rPr>
          <w:sz w:val="20"/>
          <w:szCs w:val="20"/>
        </w:rPr>
        <w:t xml:space="preserve"> methodology based on rank statistics to compare treatment groups with the randomization value as the covariate. </w:t>
      </w:r>
    </w:p>
    <w:p w:rsidR="005F1127" w:rsidRPr="005946BC" w:rsidRDefault="005F1127" w:rsidP="005F1127">
      <w:pPr>
        <w:rPr>
          <w:rStyle w:val="Strong"/>
          <w:b w:val="0"/>
          <w:sz w:val="20"/>
          <w:szCs w:val="20"/>
        </w:rPr>
      </w:pPr>
      <w:r w:rsidRPr="005946BC">
        <w:rPr>
          <w:sz w:val="20"/>
          <w:szCs w:val="20"/>
          <w:vertAlign w:val="superscript"/>
        </w:rPr>
        <w:t>‡</w:t>
      </w:r>
      <w:r w:rsidRPr="005946BC">
        <w:rPr>
          <w:bCs w:val="0"/>
          <w:sz w:val="20"/>
        </w:rPr>
        <w:t xml:space="preserve">Baseline values were measured before </w:t>
      </w:r>
      <w:r>
        <w:rPr>
          <w:bCs w:val="0"/>
          <w:sz w:val="20"/>
        </w:rPr>
        <w:t xml:space="preserve">the </w:t>
      </w:r>
      <w:r w:rsidRPr="005946BC">
        <w:rPr>
          <w:bCs w:val="0"/>
          <w:sz w:val="20"/>
        </w:rPr>
        <w:t xml:space="preserve">first dose of study treatment in Study NOH301 or NOH302 unless the last visit </w:t>
      </w:r>
      <w:r>
        <w:rPr>
          <w:bCs w:val="0"/>
          <w:sz w:val="20"/>
        </w:rPr>
        <w:t xml:space="preserve">in Study NOH301 or NOH 302 </w:t>
      </w:r>
      <w:r w:rsidRPr="005946BC">
        <w:rPr>
          <w:bCs w:val="0"/>
          <w:sz w:val="20"/>
        </w:rPr>
        <w:t xml:space="preserve">occurred </w:t>
      </w:r>
      <w:r>
        <w:rPr>
          <w:bCs w:val="0"/>
          <w:sz w:val="20"/>
        </w:rPr>
        <w:t xml:space="preserve">&gt;1 </w:t>
      </w:r>
      <w:r w:rsidRPr="005946BC">
        <w:rPr>
          <w:bCs w:val="0"/>
          <w:sz w:val="20"/>
        </w:rPr>
        <w:t>month before the start of the current study</w:t>
      </w:r>
      <w:r w:rsidRPr="005946BC">
        <w:rPr>
          <w:rStyle w:val="Strong"/>
          <w:sz w:val="20"/>
          <w:szCs w:val="20"/>
        </w:rPr>
        <w:t>.</w:t>
      </w:r>
    </w:p>
    <w:p w:rsidR="005F1127" w:rsidRPr="005946BC" w:rsidRDefault="005F1127" w:rsidP="005F1127">
      <w:pPr>
        <w:rPr>
          <w:sz w:val="20"/>
          <w:szCs w:val="20"/>
        </w:rPr>
      </w:pPr>
      <w:r w:rsidRPr="005946BC">
        <w:rPr>
          <w:rFonts w:cs="Palatino"/>
          <w:color w:val="221E1F"/>
          <w:sz w:val="20"/>
          <w:szCs w:val="20"/>
          <w:vertAlign w:val="superscript"/>
        </w:rPr>
        <w:t>§</w:t>
      </w:r>
      <w:r w:rsidRPr="005946BC">
        <w:rPr>
          <w:sz w:val="20"/>
          <w:szCs w:val="20"/>
        </w:rPr>
        <w:t xml:space="preserve">Randomization to placebo or </w:t>
      </w:r>
      <w:proofErr w:type="spellStart"/>
      <w:r w:rsidRPr="005946BC">
        <w:rPr>
          <w:sz w:val="20"/>
          <w:szCs w:val="20"/>
        </w:rPr>
        <w:t>droxidopa</w:t>
      </w:r>
      <w:proofErr w:type="spellEnd"/>
      <w:r w:rsidRPr="005946BC">
        <w:rPr>
          <w:sz w:val="20"/>
          <w:szCs w:val="20"/>
        </w:rPr>
        <w:t xml:space="preserve"> followed 3 months of open-label </w:t>
      </w:r>
      <w:proofErr w:type="spellStart"/>
      <w:r w:rsidRPr="005946BC">
        <w:rPr>
          <w:sz w:val="20"/>
          <w:szCs w:val="20"/>
        </w:rPr>
        <w:t>droxidopa</w:t>
      </w:r>
      <w:proofErr w:type="spellEnd"/>
      <w:r w:rsidRPr="005946BC">
        <w:rPr>
          <w:sz w:val="20"/>
          <w:szCs w:val="20"/>
        </w:rPr>
        <w:t xml:space="preserve"> at an individualized dose.</w:t>
      </w:r>
    </w:p>
    <w:p w:rsidR="005F1127" w:rsidRPr="005946BC" w:rsidRDefault="005F1127" w:rsidP="005F1127">
      <w:pPr>
        <w:rPr>
          <w:rStyle w:val="Strong"/>
          <w:b w:val="0"/>
          <w:sz w:val="20"/>
          <w:szCs w:val="20"/>
        </w:rPr>
      </w:pPr>
      <w:r w:rsidRPr="005946BC">
        <w:rPr>
          <w:rFonts w:cs="Palatino"/>
          <w:color w:val="221E1F"/>
          <w:sz w:val="20"/>
          <w:szCs w:val="20"/>
          <w:vertAlign w:val="superscript"/>
        </w:rPr>
        <w:t>||</w:t>
      </w:r>
      <w:r w:rsidRPr="005946BC">
        <w:rPr>
          <w:rStyle w:val="Strong"/>
          <w:sz w:val="20"/>
          <w:szCs w:val="20"/>
        </w:rPr>
        <w:t>Change in standing SBP is the difference between SBP measured before standing and 3 minutes after standing from a supine</w:t>
      </w:r>
      <w:r w:rsidRPr="001D1BE9">
        <w:rPr>
          <w:bCs w:val="0"/>
          <w:iCs/>
          <w:sz w:val="20"/>
          <w:szCs w:val="20"/>
        </w:rPr>
        <w:t xml:space="preserve"> </w:t>
      </w:r>
      <w:r w:rsidRPr="001D1BE9">
        <w:rPr>
          <w:sz w:val="20"/>
          <w:szCs w:val="20"/>
        </w:rPr>
        <w:t>(30° elevation of head and torso)</w:t>
      </w:r>
      <w:r w:rsidRPr="005946BC">
        <w:rPr>
          <w:rStyle w:val="Strong"/>
          <w:sz w:val="20"/>
          <w:szCs w:val="20"/>
        </w:rPr>
        <w:t xml:space="preserve"> position.</w:t>
      </w:r>
    </w:p>
    <w:p w:rsidR="005F1127" w:rsidRPr="005946BC" w:rsidRDefault="005F1127" w:rsidP="005F1127">
      <w:pPr>
        <w:spacing w:before="0"/>
        <w:rPr>
          <w:rStyle w:val="Strong"/>
        </w:rPr>
      </w:pPr>
      <w:r w:rsidRPr="005946BC">
        <w:rPr>
          <w:rStyle w:val="Strong"/>
        </w:rPr>
        <w:br w:type="page"/>
      </w:r>
    </w:p>
    <w:p w:rsidR="005F1127" w:rsidRDefault="005F1127" w:rsidP="005F1127">
      <w:pPr>
        <w:spacing w:before="0"/>
        <w:rPr>
          <w:b/>
        </w:rPr>
      </w:pPr>
      <w:r>
        <w:rPr>
          <w:b/>
        </w:rPr>
        <w:lastRenderedPageBreak/>
        <w:t>Supplementary Figure Legends</w:t>
      </w:r>
    </w:p>
    <w:p w:rsidR="005F1127" w:rsidRDefault="005F1127" w:rsidP="005F1127">
      <w:pPr>
        <w:spacing w:before="0"/>
        <w:rPr>
          <w:b/>
        </w:rPr>
      </w:pPr>
    </w:p>
    <w:p w:rsidR="005F1127" w:rsidRDefault="005F1127" w:rsidP="005F1127">
      <w:pPr>
        <w:spacing w:after="200"/>
      </w:pPr>
      <w:proofErr w:type="gramStart"/>
      <w:r w:rsidRPr="005946BC">
        <w:rPr>
          <w:b/>
        </w:rPr>
        <w:t>Supplementary Figure 1.</w:t>
      </w:r>
      <w:proofErr w:type="gramEnd"/>
      <w:r w:rsidRPr="005946BC">
        <w:rPr>
          <w:b/>
        </w:rPr>
        <w:t xml:space="preserve"> </w:t>
      </w:r>
      <w:proofErr w:type="gramStart"/>
      <w:r w:rsidRPr="00735F85">
        <w:t>Patient Disposition.</w:t>
      </w:r>
      <w:proofErr w:type="gramEnd"/>
      <w:r w:rsidRPr="00735F85">
        <w:t xml:space="preserve"> </w:t>
      </w:r>
      <w:r w:rsidRPr="005946BC">
        <w:t>DB</w:t>
      </w:r>
      <w:r>
        <w:t>=</w:t>
      </w:r>
      <w:r w:rsidRPr="005946BC">
        <w:t>double-blind; OL</w:t>
      </w:r>
      <w:r>
        <w:t>=</w:t>
      </w:r>
      <w:r w:rsidRPr="005946BC">
        <w:t>open label</w:t>
      </w:r>
      <w:r>
        <w:t xml:space="preserve">; </w:t>
      </w:r>
      <w:r w:rsidRPr="005946BC">
        <w:t>PP</w:t>
      </w:r>
      <w:r>
        <w:t>=per protocol</w:t>
      </w:r>
      <w:r w:rsidRPr="005946BC">
        <w:t>.</w:t>
      </w:r>
      <w:r>
        <w:t xml:space="preserve"> </w:t>
      </w:r>
      <w:r w:rsidRPr="003E54A9">
        <w:t>*P</w:t>
      </w:r>
      <w:r w:rsidRPr="005946BC">
        <w:t xml:space="preserve">atients included in safety analysis. One patient did not meet inclusion criteria of NOH302 and was removed from the study before exposure to </w:t>
      </w:r>
      <w:proofErr w:type="spellStart"/>
      <w:r w:rsidRPr="005946BC">
        <w:t>droxidopa</w:t>
      </w:r>
      <w:proofErr w:type="spellEnd"/>
      <w:r w:rsidRPr="005946BC">
        <w:t>.</w:t>
      </w:r>
    </w:p>
    <w:p w:rsidR="005F1127" w:rsidRPr="005946BC" w:rsidRDefault="005F1127" w:rsidP="005F1127">
      <w:pPr>
        <w:spacing w:before="0"/>
      </w:pPr>
      <w:proofErr w:type="gramStart"/>
      <w:r w:rsidRPr="005946BC">
        <w:rPr>
          <w:b/>
        </w:rPr>
        <w:t>Supplementary Figure 2.</w:t>
      </w:r>
      <w:proofErr w:type="gramEnd"/>
      <w:r w:rsidRPr="005946BC">
        <w:rPr>
          <w:b/>
        </w:rPr>
        <w:t xml:space="preserve"> </w:t>
      </w:r>
      <w:r w:rsidRPr="00735F85">
        <w:t>OHSA and OHDAS composite scores (A), OHDAS individual item scores (B), clinician-reported CGI-I scores (C), and patient-reported CGI-I scores (D).</w:t>
      </w:r>
      <w:r w:rsidRPr="005946BC">
        <w:t xml:space="preserve"> CGI-I=Clinical Global Impression of </w:t>
      </w:r>
      <w:proofErr w:type="spellStart"/>
      <w:proofErr w:type="gramStart"/>
      <w:r w:rsidRPr="005946BC">
        <w:t>nOH</w:t>
      </w:r>
      <w:proofErr w:type="spellEnd"/>
      <w:proofErr w:type="gramEnd"/>
      <w:r w:rsidRPr="005946BC">
        <w:t xml:space="preserve"> improvement; OHDAS=Orthostatic Hypotension Daily Activity Scale; OHSA=Orthostatic Hypotension Symptom Assessment.</w:t>
      </w:r>
    </w:p>
    <w:p w:rsidR="005F1127" w:rsidRDefault="005F1127" w:rsidP="005F1127">
      <w:pPr>
        <w:spacing w:before="0"/>
        <w:rPr>
          <w:b/>
        </w:rPr>
      </w:pPr>
      <w:r>
        <w:rPr>
          <w:b/>
        </w:rPr>
        <w:br w:type="page"/>
      </w:r>
    </w:p>
    <w:p w:rsidR="005F1127" w:rsidRPr="005946BC" w:rsidRDefault="005F1127" w:rsidP="005F1127">
      <w:r w:rsidRPr="005946BC">
        <w:rPr>
          <w:b/>
        </w:rPr>
        <w:lastRenderedPageBreak/>
        <w:t>Supplementary Figure 1</w:t>
      </w:r>
    </w:p>
    <w:p w:rsidR="005F1127" w:rsidRPr="005946BC" w:rsidRDefault="005F1127" w:rsidP="005F1127">
      <w:pPr>
        <w:rPr>
          <w:b/>
        </w:rPr>
      </w:pPr>
      <w:r w:rsidRPr="005946BC">
        <w:rPr>
          <w:b/>
          <w:noProof/>
        </w:rPr>
        <w:drawing>
          <wp:inline distT="0" distB="0" distL="0" distR="0" wp14:anchorId="092286B0" wp14:editId="0C95CAC8">
            <wp:extent cx="5943600" cy="44208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127" w:rsidRPr="005946BC" w:rsidRDefault="005F1127" w:rsidP="005F1127">
      <w:pPr>
        <w:spacing w:before="0"/>
        <w:sectPr w:rsidR="005F1127" w:rsidRPr="005946BC">
          <w:pgSz w:w="12240" w:h="15840"/>
          <w:pgMar w:top="1296" w:right="1440" w:bottom="1267" w:left="1440" w:header="720" w:footer="288" w:gutter="0"/>
          <w:cols w:space="720"/>
          <w:docGrid w:linePitch="360"/>
        </w:sectPr>
      </w:pPr>
      <w:r w:rsidRPr="005946BC">
        <w:br w:type="page"/>
      </w:r>
    </w:p>
    <w:p w:rsidR="005F1127" w:rsidRPr="005946BC" w:rsidRDefault="005F1127" w:rsidP="005F1127">
      <w:pPr>
        <w:spacing w:before="0"/>
      </w:pPr>
      <w:r w:rsidRPr="005946BC">
        <w:rPr>
          <w:b/>
        </w:rPr>
        <w:lastRenderedPageBreak/>
        <w:t>Supplementary Figure 2</w:t>
      </w:r>
    </w:p>
    <w:p w:rsidR="005F1127" w:rsidRPr="005946BC" w:rsidRDefault="005F1127" w:rsidP="005F1127">
      <w:pPr>
        <w:spacing w:before="0"/>
      </w:pPr>
      <w:r w:rsidRPr="005946BC">
        <w:rPr>
          <w:noProof/>
        </w:rPr>
        <w:drawing>
          <wp:inline distT="0" distB="0" distL="0" distR="0" wp14:anchorId="69912103" wp14:editId="7FAC5F6E">
            <wp:extent cx="7278624" cy="4261104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624" cy="426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20B" w:rsidRDefault="0092020B">
      <w:bookmarkStart w:id="0" w:name="_GoBack"/>
      <w:bookmarkEnd w:id="0"/>
    </w:p>
    <w:sectPr w:rsidR="0092020B" w:rsidSect="007261C7">
      <w:pgSz w:w="15840" w:h="12240" w:orient="landscape"/>
      <w:pgMar w:top="1440" w:right="1267" w:bottom="1440" w:left="1296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27"/>
    <w:rsid w:val="005F1127"/>
    <w:rsid w:val="009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27"/>
    <w:pPr>
      <w:spacing w:before="200" w:after="0" w:line="48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F1127"/>
    <w:rPr>
      <w:b/>
      <w:bCs/>
    </w:rPr>
  </w:style>
  <w:style w:type="table" w:styleId="TableClassic1">
    <w:name w:val="Table Classic 1"/>
    <w:basedOn w:val="TableNormal"/>
    <w:rsid w:val="005F1127"/>
    <w:pPr>
      <w:spacing w:after="0" w:line="48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11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27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27"/>
    <w:pPr>
      <w:spacing w:before="200" w:after="0" w:line="48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F1127"/>
    <w:rPr>
      <w:b/>
      <w:bCs/>
    </w:rPr>
  </w:style>
  <w:style w:type="table" w:styleId="TableClassic1">
    <w:name w:val="Table Classic 1"/>
    <w:basedOn w:val="TableNormal"/>
    <w:rsid w:val="005F1127"/>
    <w:pPr>
      <w:spacing w:after="0" w:line="48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11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27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2016-09-13T04:35:00Z</dcterms:created>
  <dcterms:modified xsi:type="dcterms:W3CDTF">2016-09-13T04:36:00Z</dcterms:modified>
</cp:coreProperties>
</file>