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C9" w:rsidRDefault="007936B0">
      <w:pPr>
        <w:spacing w:before="240" w:after="240" w:line="480" w:lineRule="auto"/>
        <w:rPr>
          <w:rFonts w:ascii="Arial" w:hAnsi="Arial" w:cs="Arial"/>
          <w:b/>
          <w:lang w:val="en-GB"/>
        </w:rPr>
      </w:pPr>
      <w:bookmarkStart w:id="0" w:name="_GoBack"/>
      <w:bookmarkEnd w:id="0"/>
      <w:r>
        <w:rPr>
          <w:rFonts w:ascii="Arial" w:hAnsi="Arial" w:cs="Arial"/>
          <w:b/>
          <w:lang w:val="en-GB"/>
        </w:rPr>
        <w:t>SUPPLEMENTARY DATA</w:t>
      </w:r>
    </w:p>
    <w:p w:rsidR="00D42FC9" w:rsidRDefault="007936B0">
      <w:pPr>
        <w:spacing w:before="240" w:after="240" w:line="480" w:lineRule="auto"/>
        <w:rPr>
          <w:rFonts w:ascii="Arial" w:hAnsi="Arial" w:cs="Arial"/>
          <w:i/>
          <w:lang w:val="en-GB"/>
        </w:rPr>
      </w:pPr>
      <w:r>
        <w:rPr>
          <w:rFonts w:ascii="Arial" w:hAnsi="Arial" w:cs="Arial"/>
          <w:i/>
          <w:lang w:val="en-GB"/>
        </w:rPr>
        <w:t>Supplementary tables</w:t>
      </w:r>
    </w:p>
    <w:p w:rsidR="00D42FC9" w:rsidRDefault="007936B0">
      <w:pPr>
        <w:spacing w:line="480" w:lineRule="auto"/>
        <w:ind w:right="141"/>
        <w:rPr>
          <w:rFonts w:ascii="Arial" w:hAnsi="Arial" w:cs="Arial"/>
          <w:u w:val="single"/>
          <w:lang w:val="en-GB"/>
        </w:rPr>
      </w:pPr>
      <w:r>
        <w:rPr>
          <w:rFonts w:ascii="Arial" w:hAnsi="Arial" w:cs="Arial"/>
          <w:u w:val="single"/>
          <w:lang w:val="en-GB"/>
        </w:rPr>
        <w:t>Table S1: Antibodies used</w:t>
      </w:r>
    </w:p>
    <w:tbl>
      <w:tblPr>
        <w:tblW w:w="9726" w:type="dxa"/>
        <w:tblInd w:w="110" w:type="dxa"/>
        <w:tblLayout w:type="fixed"/>
        <w:tblCellMar>
          <w:top w:w="55" w:type="dxa"/>
          <w:left w:w="55" w:type="dxa"/>
          <w:bottom w:w="55" w:type="dxa"/>
          <w:right w:w="55" w:type="dxa"/>
        </w:tblCellMar>
        <w:tblLook w:val="0000" w:firstRow="0" w:lastRow="0" w:firstColumn="0" w:lastColumn="0" w:noHBand="0" w:noVBand="0"/>
      </w:tblPr>
      <w:tblGrid>
        <w:gridCol w:w="2127"/>
        <w:gridCol w:w="2209"/>
        <w:gridCol w:w="2409"/>
        <w:gridCol w:w="1419"/>
        <w:gridCol w:w="1562"/>
      </w:tblGrid>
      <w:tr w:rsidR="00D42FC9">
        <w:trPr>
          <w:tblHeader/>
        </w:trPr>
        <w:tc>
          <w:tcPr>
            <w:tcW w:w="2127" w:type="dxa"/>
            <w:tcBorders>
              <w:top w:val="single" w:sz="8" w:space="0" w:color="000000"/>
              <w:bottom w:val="single" w:sz="8" w:space="0" w:color="000000"/>
            </w:tcBorders>
            <w:shd w:val="clear" w:color="auto" w:fill="auto"/>
          </w:tcPr>
          <w:p w:rsidR="00D42FC9" w:rsidRDefault="007936B0">
            <w:pPr>
              <w:pStyle w:val="Tabellenberschrift"/>
              <w:spacing w:line="480" w:lineRule="auto"/>
              <w:jc w:val="left"/>
              <w:rPr>
                <w:rFonts w:ascii="Arial" w:hAnsi="Arial" w:cs="Arial"/>
                <w:sz w:val="22"/>
                <w:szCs w:val="22"/>
                <w:lang w:val="en-GB"/>
              </w:rPr>
            </w:pPr>
            <w:r>
              <w:rPr>
                <w:rFonts w:ascii="Arial" w:hAnsi="Arial" w:cs="Arial"/>
                <w:bCs w:val="0"/>
                <w:color w:val="000000"/>
                <w:sz w:val="22"/>
                <w:szCs w:val="22"/>
                <w:lang w:val="en-GB"/>
              </w:rPr>
              <w:t>Antibody</w:t>
            </w:r>
          </w:p>
        </w:tc>
        <w:tc>
          <w:tcPr>
            <w:tcW w:w="2209" w:type="dxa"/>
            <w:tcBorders>
              <w:top w:val="single" w:sz="8" w:space="0" w:color="000000"/>
              <w:bottom w:val="single" w:sz="8" w:space="0" w:color="000000"/>
            </w:tcBorders>
          </w:tcPr>
          <w:p w:rsidR="00D42FC9" w:rsidRDefault="007936B0">
            <w:pPr>
              <w:widowControl w:val="0"/>
              <w:snapToGrid w:val="0"/>
              <w:spacing w:line="480" w:lineRule="auto"/>
              <w:rPr>
                <w:rFonts w:ascii="Arial" w:hAnsi="Arial" w:cs="Arial"/>
                <w:b/>
                <w:color w:val="000000"/>
                <w:lang w:val="en-GB"/>
              </w:rPr>
            </w:pPr>
            <w:r>
              <w:rPr>
                <w:rFonts w:ascii="Arial" w:hAnsi="Arial" w:cs="Arial"/>
                <w:b/>
                <w:color w:val="000000"/>
                <w:lang w:val="en-GB"/>
              </w:rPr>
              <w:t>Type</w:t>
            </w:r>
          </w:p>
        </w:tc>
        <w:tc>
          <w:tcPr>
            <w:tcW w:w="2409" w:type="dxa"/>
            <w:tcBorders>
              <w:top w:val="single" w:sz="8" w:space="0" w:color="000000"/>
              <w:bottom w:val="single" w:sz="8" w:space="0" w:color="000000"/>
            </w:tcBorders>
          </w:tcPr>
          <w:p w:rsidR="00D42FC9" w:rsidRDefault="007936B0">
            <w:pPr>
              <w:widowControl w:val="0"/>
              <w:snapToGrid w:val="0"/>
              <w:spacing w:line="480" w:lineRule="auto"/>
              <w:rPr>
                <w:rFonts w:ascii="Arial" w:hAnsi="Arial" w:cs="Arial"/>
                <w:b/>
                <w:color w:val="000000"/>
                <w:lang w:val="en-GB"/>
              </w:rPr>
            </w:pPr>
            <w:r>
              <w:rPr>
                <w:rFonts w:ascii="Arial" w:hAnsi="Arial" w:cs="Arial"/>
                <w:b/>
                <w:color w:val="000000"/>
                <w:lang w:val="en-GB"/>
              </w:rPr>
              <w:t>Source</w:t>
            </w:r>
          </w:p>
        </w:tc>
        <w:tc>
          <w:tcPr>
            <w:tcW w:w="1419" w:type="dxa"/>
            <w:tcBorders>
              <w:top w:val="single" w:sz="8" w:space="0" w:color="000000"/>
              <w:bottom w:val="single" w:sz="8" w:space="0" w:color="000000"/>
            </w:tcBorders>
            <w:shd w:val="clear" w:color="auto" w:fill="auto"/>
          </w:tcPr>
          <w:p w:rsidR="00D42FC9" w:rsidRDefault="007936B0">
            <w:pPr>
              <w:widowControl w:val="0"/>
              <w:snapToGrid w:val="0"/>
              <w:spacing w:line="480" w:lineRule="auto"/>
              <w:rPr>
                <w:rFonts w:ascii="Arial" w:hAnsi="Arial" w:cs="Arial"/>
                <w:b/>
                <w:color w:val="000000"/>
                <w:lang w:val="en-GB"/>
              </w:rPr>
            </w:pPr>
            <w:r>
              <w:rPr>
                <w:rFonts w:ascii="Arial" w:hAnsi="Arial" w:cs="Arial"/>
                <w:b/>
                <w:color w:val="000000"/>
                <w:lang w:val="en-GB"/>
              </w:rPr>
              <w:t>WB dilution</w:t>
            </w:r>
          </w:p>
        </w:tc>
        <w:tc>
          <w:tcPr>
            <w:tcW w:w="1562" w:type="dxa"/>
            <w:tcBorders>
              <w:top w:val="single" w:sz="8" w:space="0" w:color="000000"/>
              <w:bottom w:val="single" w:sz="8" w:space="0" w:color="000000"/>
            </w:tcBorders>
            <w:shd w:val="clear" w:color="auto" w:fill="auto"/>
          </w:tcPr>
          <w:p w:rsidR="00D42FC9" w:rsidRDefault="007936B0">
            <w:pPr>
              <w:pStyle w:val="Tabellenberschrift"/>
              <w:snapToGrid w:val="0"/>
              <w:spacing w:line="480" w:lineRule="auto"/>
              <w:jc w:val="left"/>
              <w:rPr>
                <w:rFonts w:ascii="Arial" w:hAnsi="Arial" w:cs="Arial"/>
                <w:sz w:val="22"/>
                <w:szCs w:val="22"/>
                <w:lang w:val="en-GB"/>
              </w:rPr>
            </w:pPr>
            <w:r>
              <w:rPr>
                <w:rFonts w:ascii="Arial" w:hAnsi="Arial" w:cs="Arial"/>
                <w:bCs w:val="0"/>
                <w:color w:val="000000"/>
                <w:sz w:val="22"/>
                <w:szCs w:val="22"/>
                <w:lang w:val="en-GB"/>
              </w:rPr>
              <w:t>IHC dilution</w:t>
            </w:r>
          </w:p>
        </w:tc>
      </w:tr>
      <w:tr w:rsidR="00D42FC9">
        <w:tc>
          <w:tcPr>
            <w:tcW w:w="2127" w:type="dxa"/>
            <w:tcBorders>
              <w:top w:val="single" w:sz="8"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 xml:space="preserve"> Primary antibodies</w:t>
            </w:r>
          </w:p>
        </w:tc>
        <w:tc>
          <w:tcPr>
            <w:tcW w:w="22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24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1419"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sz w:val="22"/>
                <w:szCs w:val="22"/>
                <w:lang w:val="en-GB"/>
              </w:rPr>
            </w:pPr>
          </w:p>
        </w:tc>
        <w:tc>
          <w:tcPr>
            <w:tcW w:w="1562"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color w:val="000000"/>
                <w:sz w:val="22"/>
                <w:szCs w:val="22"/>
                <w:lang w:val="en-GB"/>
              </w:rPr>
            </w:pPr>
          </w:p>
        </w:tc>
      </w:tr>
      <w:tr w:rsidR="00D42FC9">
        <w:tc>
          <w:tcPr>
            <w:tcW w:w="2127"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anti-acetylcholine receptor, alpha-subunit (MAB398)</w:t>
            </w:r>
          </w:p>
        </w:tc>
        <w:tc>
          <w:tcPr>
            <w:tcW w:w="2209"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Mouse monoclonal, IgG1</w:t>
            </w:r>
          </w:p>
        </w:tc>
        <w:tc>
          <w:tcPr>
            <w:tcW w:w="2409"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Chemicon, Millipore, Germany</w:t>
            </w:r>
          </w:p>
        </w:tc>
        <w:tc>
          <w:tcPr>
            <w:tcW w:w="1419" w:type="dxa"/>
            <w:tcBorders>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color w:val="000000"/>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color w:val="000000"/>
                <w:sz w:val="22"/>
                <w:szCs w:val="22"/>
                <w:lang w:val="en-GB"/>
              </w:rPr>
              <w:t>1:150</w:t>
            </w:r>
          </w:p>
        </w:tc>
      </w:tr>
      <w:tr w:rsidR="00D42FC9">
        <w:tc>
          <w:tcPr>
            <w:tcW w:w="2127"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anti-desmin (M 0760)</w:t>
            </w:r>
          </w:p>
        </w:tc>
        <w:tc>
          <w:tcPr>
            <w:tcW w:w="2209"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Mouse monoclonal, clone D33, IgG1</w:t>
            </w:r>
          </w:p>
        </w:tc>
        <w:tc>
          <w:tcPr>
            <w:tcW w:w="2409"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DAKO, Hamburg, Germany</w:t>
            </w:r>
          </w:p>
        </w:tc>
        <w:tc>
          <w:tcPr>
            <w:tcW w:w="1419" w:type="dxa"/>
            <w:tcBorders>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color w:val="000000"/>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color w:val="000000"/>
                <w:sz w:val="22"/>
                <w:szCs w:val="22"/>
                <w:lang w:val="en-GB"/>
              </w:rPr>
              <w:t>1:300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iCs/>
                <w:color w:val="000000"/>
                <w:lang w:val="en-GB"/>
              </w:rPr>
              <w:t>anti-dihydropyridin receptor alpha1-subunit (D218)</w:t>
            </w:r>
          </w:p>
        </w:tc>
        <w:tc>
          <w:tcPr>
            <w:tcW w:w="2209" w:type="dxa"/>
            <w:tcBorders>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Mouse monoclonal, clone 1A, IgG1</w:t>
            </w:r>
          </w:p>
        </w:tc>
        <w:tc>
          <w:tcPr>
            <w:tcW w:w="2409" w:type="dxa"/>
            <w:tcBorders>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Sigma-Aldrich</w:t>
            </w:r>
          </w:p>
        </w:tc>
        <w:tc>
          <w:tcPr>
            <w:tcW w:w="1419" w:type="dxa"/>
            <w:tcBorders>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color w:val="000000"/>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widowControl w:val="0"/>
              <w:snapToGrid w:val="0"/>
              <w:spacing w:line="480" w:lineRule="auto"/>
              <w:rPr>
                <w:rFonts w:ascii="Arial" w:hAnsi="Arial" w:cs="Arial"/>
                <w:lang w:val="en-GB"/>
              </w:rPr>
            </w:pPr>
            <w:r>
              <w:rPr>
                <w:rFonts w:ascii="Arial" w:hAnsi="Arial" w:cs="Arial"/>
                <w:color w:val="000000"/>
                <w:lang w:val="en-GB"/>
              </w:rPr>
              <w:t>1:100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iCs/>
                <w:color w:val="000000"/>
                <w:lang w:val="en-GB"/>
              </w:rPr>
              <w:t>anti-GAPDH (ab8245)</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Mouse monoclonal, clone 6C5, IgG1</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Abcam, Cambridge, UK</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1:200,000</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n.d.</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anti-Itm2A (i141)</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Rabbit polyclonal</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Eurogentec</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1:500*</w:t>
            </w:r>
          </w:p>
        </w:tc>
        <w:tc>
          <w:tcPr>
            <w:tcW w:w="1562"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eastAsia="SimSun" w:hAnsi="Arial" w:cs="Arial"/>
                <w:kern w:val="2"/>
                <w:lang w:val="en-GB" w:eastAsia="zh-CN" w:bidi="hi-IN"/>
              </w:rPr>
              <w:t>1:50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anti-Itm2a (sc-50022)</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Santa Cruz Biotechnology, Heidelberg, Germany</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1:1,000</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anti-laminin (L8271)</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Mouse monoclonal, clone LAM-89, IgG1</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Sigma-Aldrich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1:1,000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anti-myosin, slow (M8421)</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Mouse monoclonal, clone NOQ7.5.4D, IgG1</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Sigma-Aldrich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1:200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anti-phosphorylated neurofilament H and M (SMI 31)</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Mouse monoclonal IgG1</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rPr>
            </w:pPr>
            <w:r>
              <w:rPr>
                <w:rFonts w:ascii="Arial" w:hAnsi="Arial" w:cs="Arial"/>
                <w:color w:val="000000"/>
                <w:sz w:val="22"/>
                <w:szCs w:val="22"/>
              </w:rPr>
              <w:t>Sternberger Monoclonals, Lutherville, MD, USA</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1:1,000</w:t>
            </w:r>
          </w:p>
        </w:tc>
      </w:tr>
      <w:tr w:rsidR="00D42FC9">
        <w:tc>
          <w:tcPr>
            <w:tcW w:w="2127" w:type="dxa"/>
            <w:tcBorders>
              <w:top w:val="single" w:sz="4" w:space="0" w:color="000000"/>
              <w:bottom w:val="single" w:sz="8"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anti-PITPNC1 (GTX115801)</w:t>
            </w:r>
          </w:p>
        </w:tc>
        <w:tc>
          <w:tcPr>
            <w:tcW w:w="22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Rabbit polyclonal</w:t>
            </w:r>
          </w:p>
        </w:tc>
        <w:tc>
          <w:tcPr>
            <w:tcW w:w="24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GeneTex, Irvine, CA, USA</w:t>
            </w:r>
          </w:p>
        </w:tc>
        <w:tc>
          <w:tcPr>
            <w:tcW w:w="1419"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1:2,000</w:t>
            </w:r>
          </w:p>
        </w:tc>
        <w:tc>
          <w:tcPr>
            <w:tcW w:w="1562"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1:100</w:t>
            </w:r>
          </w:p>
        </w:tc>
      </w:tr>
      <w:tr w:rsidR="00D42FC9">
        <w:tc>
          <w:tcPr>
            <w:tcW w:w="2127" w:type="dxa"/>
            <w:tcBorders>
              <w:top w:val="single" w:sz="8"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Secondary antibodies</w:t>
            </w:r>
          </w:p>
        </w:tc>
        <w:tc>
          <w:tcPr>
            <w:tcW w:w="22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24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1419"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sz w:val="22"/>
                <w:szCs w:val="22"/>
                <w:lang w:val="en-GB"/>
              </w:rPr>
            </w:pPr>
          </w:p>
        </w:tc>
        <w:tc>
          <w:tcPr>
            <w:tcW w:w="1562"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sz w:val="22"/>
                <w:szCs w:val="22"/>
                <w:lang w:val="en-GB"/>
              </w:rPr>
            </w:pP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anti-Goat IgG (H+L)</w:t>
            </w:r>
          </w:p>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(705-035-003)</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Donkey polyclonal, peroxidase-conjugated</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Jackson ImmunoResearch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1:35,000</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anti-Mouse IgG (H+L)</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Alexa Fluor 555-conjugated</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Invitrogen</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1:800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anti-Mouse IgG (H+L) (115-506-003)</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F(ab')</w:t>
            </w:r>
            <w:r>
              <w:rPr>
                <w:rFonts w:ascii="Arial" w:hAnsi="Arial" w:cs="Arial"/>
                <w:color w:val="000000"/>
                <w:sz w:val="22"/>
                <w:szCs w:val="22"/>
                <w:vertAlign w:val="subscript"/>
                <w:lang w:val="en-GB"/>
              </w:rPr>
              <w:t>2</w:t>
            </w:r>
            <w:r>
              <w:rPr>
                <w:rFonts w:ascii="Arial" w:hAnsi="Arial" w:cs="Arial"/>
                <w:color w:val="000000"/>
                <w:sz w:val="22"/>
                <w:szCs w:val="22"/>
                <w:lang w:val="en-GB"/>
              </w:rPr>
              <w:t xml:space="preserve"> Fragments, DyLight®549-conjugated</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Jackson ImmunoResearch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1:800</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anti-Mouse IgG (H+L) (115-035-003)</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peroxidase-conjugated</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Jackson ImmunoResearch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1:170,000</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r>
      <w:tr w:rsidR="00D42FC9">
        <w:tc>
          <w:tcPr>
            <w:tcW w:w="2127"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anti-Rabbit IgG (H+L) (111-035-003)</w:t>
            </w:r>
          </w:p>
        </w:tc>
        <w:tc>
          <w:tcPr>
            <w:tcW w:w="22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peroxidase-conjugated</w:t>
            </w:r>
          </w:p>
        </w:tc>
        <w:tc>
          <w:tcPr>
            <w:tcW w:w="2409"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Jackson ImmunoResearch</w:t>
            </w:r>
          </w:p>
        </w:tc>
        <w:tc>
          <w:tcPr>
            <w:tcW w:w="1419"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1:170,000</w:t>
            </w:r>
          </w:p>
        </w:tc>
        <w:tc>
          <w:tcPr>
            <w:tcW w:w="1562" w:type="dxa"/>
            <w:tcBorders>
              <w:top w:val="single" w:sz="4" w:space="0" w:color="000000"/>
              <w:bottom w:val="single" w:sz="4"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r>
      <w:tr w:rsidR="00D42FC9">
        <w:tc>
          <w:tcPr>
            <w:tcW w:w="2127" w:type="dxa"/>
            <w:tcBorders>
              <w:top w:val="single" w:sz="4" w:space="0" w:color="000000"/>
              <w:bottom w:val="single" w:sz="8"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lang w:val="en-GB"/>
              </w:rPr>
              <w:t>anti-Rabbit IgG (H+L)</w:t>
            </w:r>
          </w:p>
        </w:tc>
        <w:tc>
          <w:tcPr>
            <w:tcW w:w="22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Alexa Fluor 488-conjugated</w:t>
            </w:r>
          </w:p>
        </w:tc>
        <w:tc>
          <w:tcPr>
            <w:tcW w:w="24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Invitrogen</w:t>
            </w:r>
          </w:p>
        </w:tc>
        <w:tc>
          <w:tcPr>
            <w:tcW w:w="1419"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1:400</w:t>
            </w:r>
          </w:p>
        </w:tc>
      </w:tr>
      <w:tr w:rsidR="00D42FC9">
        <w:tc>
          <w:tcPr>
            <w:tcW w:w="2127" w:type="dxa"/>
            <w:tcBorders>
              <w:top w:val="single" w:sz="8"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used for blocking only</w:t>
            </w:r>
          </w:p>
        </w:tc>
        <w:tc>
          <w:tcPr>
            <w:tcW w:w="22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2409" w:type="dxa"/>
            <w:tcBorders>
              <w:top w:val="single" w:sz="8" w:space="0" w:color="000000"/>
              <w:bottom w:val="single" w:sz="4" w:space="0" w:color="000000"/>
            </w:tcBorders>
          </w:tcPr>
          <w:p w:rsidR="00D42FC9" w:rsidRDefault="00D42FC9">
            <w:pPr>
              <w:pStyle w:val="Tabelleninhalt"/>
              <w:snapToGrid w:val="0"/>
              <w:spacing w:line="480" w:lineRule="auto"/>
              <w:rPr>
                <w:rFonts w:ascii="Arial" w:hAnsi="Arial" w:cs="Arial"/>
                <w:color w:val="000000"/>
                <w:sz w:val="22"/>
                <w:szCs w:val="22"/>
                <w:lang w:val="en-GB"/>
              </w:rPr>
            </w:pPr>
          </w:p>
        </w:tc>
        <w:tc>
          <w:tcPr>
            <w:tcW w:w="1419"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sz w:val="22"/>
                <w:szCs w:val="22"/>
                <w:lang w:val="en-GB"/>
              </w:rPr>
            </w:pPr>
          </w:p>
        </w:tc>
        <w:tc>
          <w:tcPr>
            <w:tcW w:w="1562" w:type="dxa"/>
            <w:tcBorders>
              <w:top w:val="single" w:sz="8" w:space="0" w:color="000000"/>
              <w:bottom w:val="single" w:sz="4" w:space="0" w:color="000000"/>
            </w:tcBorders>
            <w:shd w:val="clear" w:color="auto" w:fill="auto"/>
          </w:tcPr>
          <w:p w:rsidR="00D42FC9" w:rsidRDefault="00D42FC9">
            <w:pPr>
              <w:pStyle w:val="Tabelleninhalt"/>
              <w:snapToGrid w:val="0"/>
              <w:spacing w:line="480" w:lineRule="auto"/>
              <w:rPr>
                <w:rFonts w:ascii="Arial" w:hAnsi="Arial" w:cs="Arial"/>
                <w:sz w:val="22"/>
                <w:szCs w:val="22"/>
                <w:lang w:val="en-GB"/>
              </w:rPr>
            </w:pPr>
          </w:p>
        </w:tc>
      </w:tr>
      <w:tr w:rsidR="00D42FC9">
        <w:tc>
          <w:tcPr>
            <w:tcW w:w="2127" w:type="dxa"/>
            <w:tcBorders>
              <w:top w:val="single" w:sz="4" w:space="0" w:color="000000"/>
              <w:bottom w:val="single" w:sz="8"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anti-Mouse Fab fragment IgG (H+L)</w:t>
            </w:r>
          </w:p>
        </w:tc>
        <w:tc>
          <w:tcPr>
            <w:tcW w:w="22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Goat polyclonal unconjugated</w:t>
            </w:r>
          </w:p>
        </w:tc>
        <w:tc>
          <w:tcPr>
            <w:tcW w:w="2409"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Jackson ImmunoResearch</w:t>
            </w:r>
          </w:p>
        </w:tc>
        <w:tc>
          <w:tcPr>
            <w:tcW w:w="1419"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n.d.</w:t>
            </w:r>
          </w:p>
        </w:tc>
        <w:tc>
          <w:tcPr>
            <w:tcW w:w="1562" w:type="dxa"/>
            <w:tcBorders>
              <w:top w:val="single" w:sz="4" w:space="0" w:color="000000"/>
              <w:bottom w:val="single" w:sz="8" w:space="0" w:color="000000"/>
            </w:tcBorders>
            <w:shd w:val="clear" w:color="auto" w:fill="auto"/>
          </w:tcPr>
          <w:p w:rsidR="00D42FC9" w:rsidRDefault="007936B0">
            <w:pPr>
              <w:pStyle w:val="Tabelleninhalt"/>
              <w:snapToGrid w:val="0"/>
              <w:spacing w:line="480" w:lineRule="auto"/>
              <w:rPr>
                <w:rFonts w:ascii="Arial" w:hAnsi="Arial" w:cs="Arial"/>
                <w:sz w:val="22"/>
                <w:szCs w:val="22"/>
                <w:lang w:val="en-GB"/>
              </w:rPr>
            </w:pPr>
            <w:r>
              <w:rPr>
                <w:rFonts w:ascii="Arial" w:hAnsi="Arial" w:cs="Arial"/>
                <w:sz w:val="22"/>
                <w:szCs w:val="22"/>
                <w:lang w:val="en-GB"/>
              </w:rPr>
              <w:t>1:10</w:t>
            </w:r>
          </w:p>
        </w:tc>
      </w:tr>
    </w:tbl>
    <w:p w:rsidR="00D42FC9" w:rsidRDefault="007936B0">
      <w:pPr>
        <w:spacing w:before="240" w:after="240" w:line="480" w:lineRule="auto"/>
        <w:rPr>
          <w:rFonts w:ascii="Arial" w:hAnsi="Arial" w:cs="Arial"/>
          <w:lang w:val="en-GB"/>
        </w:rPr>
      </w:pPr>
      <w:r>
        <w:rPr>
          <w:rFonts w:ascii="Arial" w:hAnsi="Arial" w:cs="Arial"/>
          <w:lang w:val="en-GB"/>
        </w:rPr>
        <w:t xml:space="preserve">WB – western blot; IHC – immunohistochemistry </w:t>
      </w:r>
    </w:p>
    <w:p w:rsidR="00D42FC9" w:rsidRDefault="007936B0">
      <w:pPr>
        <w:spacing w:before="240" w:after="240" w:line="480" w:lineRule="auto"/>
        <w:rPr>
          <w:rFonts w:ascii="Arial" w:hAnsi="Arial" w:cs="Arial"/>
          <w:lang w:val="en-GB"/>
        </w:rPr>
      </w:pPr>
      <w:r>
        <w:rPr>
          <w:rFonts w:ascii="Arial" w:hAnsi="Arial" w:cs="Arial"/>
          <w:lang w:val="en-GB"/>
        </w:rPr>
        <w:t>* not used for quantification western blots</w:t>
      </w:r>
    </w:p>
    <w:p w:rsidR="00D42FC9" w:rsidRDefault="00D42FC9">
      <w:pPr>
        <w:spacing w:before="240" w:after="240" w:line="480" w:lineRule="auto"/>
        <w:rPr>
          <w:rFonts w:ascii="Arial" w:hAnsi="Arial" w:cs="Arial"/>
          <w:lang w:val="en-GB"/>
        </w:rPr>
      </w:pPr>
    </w:p>
    <w:p w:rsidR="00D42FC9" w:rsidRDefault="00D42FC9">
      <w:pPr>
        <w:spacing w:before="240" w:after="240" w:line="480" w:lineRule="auto"/>
        <w:rPr>
          <w:rFonts w:ascii="Arial" w:hAnsi="Arial" w:cs="Arial"/>
          <w:lang w:val="en-GB"/>
        </w:rPr>
      </w:pPr>
    </w:p>
    <w:p w:rsidR="00D42FC9" w:rsidRDefault="007936B0">
      <w:pPr>
        <w:spacing w:line="480" w:lineRule="auto"/>
        <w:ind w:right="141"/>
        <w:rPr>
          <w:rFonts w:ascii="Arial" w:hAnsi="Arial" w:cs="Arial"/>
          <w:u w:val="single"/>
          <w:lang w:val="en-GB"/>
        </w:rPr>
      </w:pPr>
      <w:r>
        <w:rPr>
          <w:rFonts w:ascii="Arial" w:hAnsi="Arial" w:cs="Arial"/>
          <w:u w:val="single"/>
          <w:lang w:val="en-GB"/>
        </w:rPr>
        <w:t>Table S2: Primers used</w:t>
      </w:r>
    </w:p>
    <w:tbl>
      <w:tblPr>
        <w:tblW w:w="8962" w:type="dxa"/>
        <w:tblInd w:w="110" w:type="dxa"/>
        <w:tblLayout w:type="fixed"/>
        <w:tblCellMar>
          <w:top w:w="55" w:type="dxa"/>
          <w:left w:w="55" w:type="dxa"/>
          <w:bottom w:w="55" w:type="dxa"/>
          <w:right w:w="55" w:type="dxa"/>
        </w:tblCellMar>
        <w:tblLook w:val="0000" w:firstRow="0" w:lastRow="0" w:firstColumn="0" w:lastColumn="0" w:noHBand="0" w:noVBand="0"/>
      </w:tblPr>
      <w:tblGrid>
        <w:gridCol w:w="1363"/>
        <w:gridCol w:w="5048"/>
        <w:gridCol w:w="2551"/>
      </w:tblGrid>
      <w:tr w:rsidR="00D42FC9">
        <w:trPr>
          <w:tblHeader/>
        </w:trPr>
        <w:tc>
          <w:tcPr>
            <w:tcW w:w="1363" w:type="dxa"/>
            <w:tcBorders>
              <w:top w:val="single" w:sz="8" w:space="0" w:color="000000"/>
              <w:bottom w:val="single" w:sz="8" w:space="0" w:color="000000"/>
            </w:tcBorders>
            <w:shd w:val="clear" w:color="auto" w:fill="auto"/>
          </w:tcPr>
          <w:p w:rsidR="00D42FC9" w:rsidRDefault="007936B0">
            <w:pPr>
              <w:pStyle w:val="Tabellenberschrift"/>
              <w:spacing w:line="480" w:lineRule="auto"/>
              <w:jc w:val="left"/>
              <w:rPr>
                <w:rFonts w:ascii="Arial" w:hAnsi="Arial" w:cs="Arial"/>
                <w:sz w:val="22"/>
                <w:szCs w:val="22"/>
                <w:lang w:val="en-GB"/>
              </w:rPr>
            </w:pPr>
            <w:r>
              <w:rPr>
                <w:rFonts w:ascii="Arial" w:hAnsi="Arial" w:cs="Arial"/>
                <w:bCs w:val="0"/>
                <w:color w:val="000000"/>
                <w:sz w:val="22"/>
                <w:szCs w:val="22"/>
                <w:lang w:val="en-GB"/>
              </w:rPr>
              <w:t>Primer</w:t>
            </w:r>
          </w:p>
        </w:tc>
        <w:tc>
          <w:tcPr>
            <w:tcW w:w="5048" w:type="dxa"/>
            <w:tcBorders>
              <w:top w:val="single" w:sz="8" w:space="0" w:color="000000"/>
              <w:bottom w:val="single" w:sz="8" w:space="0" w:color="000000"/>
            </w:tcBorders>
          </w:tcPr>
          <w:p w:rsidR="00D42FC9" w:rsidRDefault="007936B0">
            <w:pPr>
              <w:widowControl w:val="0"/>
              <w:snapToGrid w:val="0"/>
              <w:spacing w:line="480" w:lineRule="auto"/>
              <w:rPr>
                <w:rFonts w:ascii="Arial" w:hAnsi="Arial" w:cs="Arial"/>
                <w:b/>
                <w:color w:val="000000"/>
                <w:lang w:val="en-GB"/>
              </w:rPr>
            </w:pPr>
            <w:r>
              <w:rPr>
                <w:rFonts w:ascii="Arial" w:hAnsi="Arial" w:cs="Arial"/>
                <w:b/>
                <w:color w:val="000000"/>
                <w:lang w:val="en-GB"/>
              </w:rPr>
              <w:t>Sequence</w:t>
            </w:r>
          </w:p>
        </w:tc>
        <w:tc>
          <w:tcPr>
            <w:tcW w:w="2551" w:type="dxa"/>
            <w:tcBorders>
              <w:top w:val="single" w:sz="8" w:space="0" w:color="000000"/>
              <w:bottom w:val="single" w:sz="8" w:space="0" w:color="000000"/>
            </w:tcBorders>
          </w:tcPr>
          <w:p w:rsidR="00D42FC9" w:rsidRDefault="007936B0">
            <w:pPr>
              <w:widowControl w:val="0"/>
              <w:snapToGrid w:val="0"/>
              <w:spacing w:line="480" w:lineRule="auto"/>
              <w:rPr>
                <w:rFonts w:ascii="Arial" w:hAnsi="Arial" w:cs="Arial"/>
                <w:b/>
                <w:color w:val="000000"/>
                <w:lang w:val="en-GB"/>
              </w:rPr>
            </w:pPr>
            <w:r>
              <w:rPr>
                <w:rFonts w:ascii="Arial" w:hAnsi="Arial" w:cs="Arial"/>
                <w:b/>
                <w:color w:val="000000"/>
                <w:lang w:val="en-GB"/>
              </w:rPr>
              <w:t>Used for</w:t>
            </w:r>
          </w:p>
        </w:tc>
      </w:tr>
      <w:tr w:rsidR="00D42FC9">
        <w:tc>
          <w:tcPr>
            <w:tcW w:w="1363" w:type="dxa"/>
            <w:tcBorders>
              <w:top w:val="single" w:sz="8"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 xml:space="preserve"> Sry F</w:t>
            </w:r>
          </w:p>
        </w:tc>
        <w:tc>
          <w:tcPr>
            <w:tcW w:w="5048" w:type="dxa"/>
            <w:tcBorders>
              <w:top w:val="single" w:sz="8"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TGGGACTGGTGACAATTGTC</w:t>
            </w:r>
          </w:p>
        </w:tc>
        <w:tc>
          <w:tcPr>
            <w:tcW w:w="2551" w:type="dxa"/>
            <w:tcBorders>
              <w:top w:val="single" w:sz="8"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sex determination [10]</w:t>
            </w:r>
          </w:p>
        </w:tc>
      </w:tr>
      <w:tr w:rsidR="00D42FC9">
        <w:tc>
          <w:tcPr>
            <w:tcW w:w="1363"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Sry R</w:t>
            </w:r>
          </w:p>
        </w:tc>
        <w:tc>
          <w:tcPr>
            <w:tcW w:w="5048"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GAGTACAGGTGTGCAGCTCT</w:t>
            </w:r>
          </w:p>
        </w:tc>
        <w:tc>
          <w:tcPr>
            <w:tcW w:w="2551"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sex determination [10]</w:t>
            </w:r>
          </w:p>
        </w:tc>
      </w:tr>
      <w:tr w:rsidR="00D42FC9">
        <w:tc>
          <w:tcPr>
            <w:tcW w:w="1363" w:type="dxa"/>
            <w:tcBorders>
              <w:top w:val="single" w:sz="4" w:space="0" w:color="000000"/>
              <w:bottom w:val="single" w:sz="4" w:space="0" w:color="000000"/>
            </w:tcBorders>
            <w:shd w:val="clear" w:color="auto" w:fill="auto"/>
          </w:tcPr>
          <w:p w:rsidR="00D42FC9" w:rsidRDefault="007936B0">
            <w:pPr>
              <w:pStyle w:val="Tabelleninhalt"/>
              <w:spacing w:line="480" w:lineRule="auto"/>
              <w:rPr>
                <w:rFonts w:ascii="Arial" w:hAnsi="Arial" w:cs="Arial"/>
                <w:sz w:val="22"/>
                <w:szCs w:val="22"/>
                <w:lang w:val="en-GB"/>
              </w:rPr>
            </w:pPr>
            <w:r>
              <w:rPr>
                <w:rFonts w:ascii="Arial" w:hAnsi="Arial" w:cs="Arial"/>
                <w:iCs/>
                <w:color w:val="000000"/>
                <w:sz w:val="22"/>
                <w:szCs w:val="22"/>
                <w:lang w:val="en-GB"/>
              </w:rPr>
              <w:t>IL3 F</w:t>
            </w:r>
          </w:p>
        </w:tc>
        <w:tc>
          <w:tcPr>
            <w:tcW w:w="5048"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GGGACTCCAAGCTTCAATCA</w:t>
            </w:r>
          </w:p>
        </w:tc>
        <w:tc>
          <w:tcPr>
            <w:tcW w:w="2551" w:type="dxa"/>
            <w:tcBorders>
              <w:bottom w:val="single" w:sz="4" w:space="0" w:color="000000"/>
            </w:tcBorders>
          </w:tcPr>
          <w:p w:rsidR="00D42FC9" w:rsidRDefault="007936B0">
            <w:pPr>
              <w:widowControl w:val="0"/>
              <w:spacing w:line="480" w:lineRule="auto"/>
              <w:rPr>
                <w:rFonts w:ascii="Arial" w:hAnsi="Arial" w:cs="Arial"/>
                <w:color w:val="000000"/>
                <w:lang w:val="en-GB"/>
              </w:rPr>
            </w:pPr>
            <w:r>
              <w:rPr>
                <w:rFonts w:ascii="Arial" w:hAnsi="Arial" w:cs="Arial"/>
                <w:color w:val="000000"/>
                <w:lang w:val="en-GB"/>
              </w:rPr>
              <w:t>control [10]</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iCs/>
                <w:color w:val="000000"/>
                <w:lang w:val="en-GB"/>
              </w:rPr>
              <w:t>IL3 R</w:t>
            </w:r>
          </w:p>
        </w:tc>
        <w:tc>
          <w:tcPr>
            <w:tcW w:w="5048" w:type="dxa"/>
            <w:tcBorders>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TGGAGGAGGAAGAAAAGCAA</w:t>
            </w:r>
          </w:p>
        </w:tc>
        <w:tc>
          <w:tcPr>
            <w:tcW w:w="2551" w:type="dxa"/>
            <w:tcBorders>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control [10]</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lang w:val="en-GB"/>
              </w:rPr>
            </w:pPr>
            <w:r>
              <w:rPr>
                <w:rFonts w:ascii="Arial" w:hAnsi="Arial" w:cs="Arial"/>
                <w:iCs/>
                <w:color w:val="000000"/>
                <w:lang w:val="en-GB"/>
              </w:rPr>
              <w:t>YRp17 F</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GCTACTTGGAGCCACTATCGACTACGCGA</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transgene detection</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YRp17 R</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AGTGATAAATTAAAGTCTTGCGCCTTAAACC</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transgene detection</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Itm2a F</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TGTGGTTCGTGAAGACCTGG</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Itm2a R</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TTTGTCAATGGCACGCTTGT</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Eif2s2 F</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AGCCAAACTGCTTGGGCA</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Eif2s2 R</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CTACTCGGACGACCTGTGGAG</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Pitpnc1 F</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TGCGATCTTGGTGTGGCAT</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iCs/>
                <w:color w:val="000000"/>
                <w:lang w:val="en-GB"/>
              </w:rPr>
              <w:t>Pitpnc1 R</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AAAAGGAAACCCTCCTTGGG</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4"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lang w:val="en-GB"/>
              </w:rPr>
              <w:t>Gapdh F</w:t>
            </w:r>
          </w:p>
        </w:tc>
        <w:tc>
          <w:tcPr>
            <w:tcW w:w="5048"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TGACCACAGTCCATGCCATC</w:t>
            </w:r>
          </w:p>
        </w:tc>
        <w:tc>
          <w:tcPr>
            <w:tcW w:w="2551" w:type="dxa"/>
            <w:tcBorders>
              <w:top w:val="single" w:sz="4" w:space="0" w:color="000000"/>
              <w:bottom w:val="single" w:sz="4"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r w:rsidR="00D42FC9">
        <w:tc>
          <w:tcPr>
            <w:tcW w:w="1363" w:type="dxa"/>
            <w:tcBorders>
              <w:top w:val="single" w:sz="4" w:space="0" w:color="000000"/>
              <w:bottom w:val="single" w:sz="8" w:space="0" w:color="000000"/>
            </w:tcBorders>
            <w:shd w:val="clear" w:color="auto" w:fill="auto"/>
          </w:tcPr>
          <w:p w:rsidR="00D42FC9" w:rsidRDefault="007936B0">
            <w:pPr>
              <w:widowControl w:val="0"/>
              <w:spacing w:line="480" w:lineRule="auto"/>
              <w:rPr>
                <w:rFonts w:ascii="Arial" w:hAnsi="Arial" w:cs="Arial"/>
                <w:iCs/>
                <w:color w:val="000000"/>
                <w:lang w:val="en-GB"/>
              </w:rPr>
            </w:pPr>
            <w:r>
              <w:rPr>
                <w:rFonts w:ascii="Arial" w:hAnsi="Arial" w:cs="Arial"/>
                <w:lang w:val="en-GB"/>
              </w:rPr>
              <w:t>Gapdh R</w:t>
            </w:r>
          </w:p>
        </w:tc>
        <w:tc>
          <w:tcPr>
            <w:tcW w:w="5048"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GACGGACACATTGGGGGTAG</w:t>
            </w:r>
          </w:p>
        </w:tc>
        <w:tc>
          <w:tcPr>
            <w:tcW w:w="2551" w:type="dxa"/>
            <w:tcBorders>
              <w:top w:val="single" w:sz="4" w:space="0" w:color="000000"/>
              <w:bottom w:val="single" w:sz="8" w:space="0" w:color="000000"/>
            </w:tcBorders>
          </w:tcPr>
          <w:p w:rsidR="00D42FC9" w:rsidRDefault="007936B0">
            <w:pPr>
              <w:pStyle w:val="Tabelleninhalt"/>
              <w:snapToGrid w:val="0"/>
              <w:spacing w:line="480" w:lineRule="auto"/>
              <w:rPr>
                <w:rFonts w:ascii="Arial" w:hAnsi="Arial" w:cs="Arial"/>
                <w:color w:val="000000"/>
                <w:sz w:val="22"/>
                <w:szCs w:val="22"/>
                <w:lang w:val="en-GB"/>
              </w:rPr>
            </w:pPr>
            <w:r>
              <w:rPr>
                <w:rFonts w:ascii="Arial" w:hAnsi="Arial" w:cs="Arial"/>
                <w:color w:val="000000"/>
                <w:sz w:val="22"/>
                <w:szCs w:val="22"/>
                <w:lang w:val="en-GB"/>
              </w:rPr>
              <w:t>qPCR</w:t>
            </w:r>
          </w:p>
        </w:tc>
      </w:tr>
    </w:tbl>
    <w:p w:rsidR="00D42FC9" w:rsidRDefault="00D42FC9">
      <w:pPr>
        <w:spacing w:before="240" w:after="240" w:line="480" w:lineRule="auto"/>
        <w:rPr>
          <w:rFonts w:ascii="Arial" w:hAnsi="Arial" w:cs="Arial"/>
          <w:lang w:val="en-GB"/>
        </w:rPr>
      </w:pPr>
    </w:p>
    <w:p w:rsidR="00D42FC9" w:rsidRDefault="007936B0">
      <w:pPr>
        <w:spacing w:before="240" w:after="240" w:line="480" w:lineRule="auto"/>
        <w:rPr>
          <w:rFonts w:ascii="Arial" w:hAnsi="Arial" w:cs="Arial"/>
          <w:i/>
          <w:lang w:val="en-GB"/>
        </w:rPr>
      </w:pPr>
      <w:r>
        <w:rPr>
          <w:rFonts w:ascii="Arial" w:hAnsi="Arial" w:cs="Arial"/>
          <w:i/>
          <w:lang w:val="en-GB"/>
        </w:rPr>
        <w:t>Supplementary figures</w:t>
      </w:r>
    </w:p>
    <w:p w:rsidR="00D42FC9" w:rsidRDefault="007936B0">
      <w:pPr>
        <w:spacing w:before="240" w:after="240" w:line="480" w:lineRule="auto"/>
        <w:rPr>
          <w:rFonts w:ascii="Arial" w:hAnsi="Arial" w:cs="Arial"/>
          <w:u w:val="single"/>
          <w:lang w:val="en-GB"/>
        </w:rPr>
      </w:pPr>
      <w:r>
        <w:rPr>
          <w:rFonts w:ascii="Arial" w:hAnsi="Arial" w:cs="Arial"/>
          <w:u w:val="single"/>
          <w:lang w:val="en-GB"/>
        </w:rPr>
        <w:t>Fig. S1</w:t>
      </w:r>
    </w:p>
    <w:p w:rsidR="00D42FC9" w:rsidRDefault="007936B0">
      <w:pPr>
        <w:spacing w:before="240" w:after="240" w:line="480" w:lineRule="auto"/>
        <w:rPr>
          <w:rFonts w:ascii="Arial" w:hAnsi="Arial" w:cs="Arial"/>
          <w:lang w:val="en-GB"/>
        </w:rPr>
      </w:pPr>
      <w:r>
        <w:rPr>
          <w:rFonts w:ascii="Arial" w:hAnsi="Arial" w:cs="Arial"/>
          <w:lang w:val="en-GB"/>
        </w:rPr>
        <w:t>eIF2S2 Western blots of (a) four muscles from the different groups without and (b) two 10dC22 muscles with phosphatase pretreatment. The asterisk marks extracts of the same 10dC22 muscle showing a strong, approximately 55 kDa band in addition to the main 50 kDa band that cannot be detected after phosphatase pretreatment indicating phosphorylation of eIF2S2 in this muscle. The majority of other 10dC22 muscle did not show such a band and did not change their band patter with eIF2S2, as seen in (b) the 10dC22 to the left.</w:t>
      </w:r>
    </w:p>
    <w:p w:rsidR="00D42FC9" w:rsidRDefault="007936B0">
      <w:pPr>
        <w:spacing w:before="240" w:after="240" w:line="480" w:lineRule="auto"/>
        <w:rPr>
          <w:rFonts w:ascii="Arial" w:hAnsi="Arial" w:cs="Arial"/>
          <w:lang w:val="en-GB"/>
        </w:rPr>
      </w:pPr>
      <w:r>
        <w:rPr>
          <w:noProof/>
          <w:lang w:val="en-IN" w:eastAsia="en-IN"/>
        </w:rPr>
        <w:drawing>
          <wp:inline distT="0" distB="0" distL="0" distR="0">
            <wp:extent cx="5760720" cy="2647950"/>
            <wp:effectExtent l="0" t="0" r="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pic:cNvPicPr>
                      <a:picLocks noChangeAspect="1" noChangeArrowheads="1"/>
                    </pic:cNvPicPr>
                  </pic:nvPicPr>
                  <pic:blipFill>
                    <a:blip r:embed="rId8"/>
                    <a:stretch>
                      <a:fillRect/>
                    </a:stretch>
                  </pic:blipFill>
                  <pic:spPr bwMode="auto">
                    <a:xfrm>
                      <a:off x="0" y="0"/>
                      <a:ext cx="5760720" cy="2647950"/>
                    </a:xfrm>
                    <a:prstGeom prst="rect">
                      <a:avLst/>
                    </a:prstGeom>
                  </pic:spPr>
                </pic:pic>
              </a:graphicData>
            </a:graphic>
          </wp:inline>
        </w:drawing>
      </w:r>
    </w:p>
    <w:p w:rsidR="00D42FC9" w:rsidRDefault="00D42FC9">
      <w:pPr>
        <w:spacing w:before="240" w:after="240" w:line="480" w:lineRule="auto"/>
        <w:rPr>
          <w:rFonts w:ascii="Arial" w:hAnsi="Arial" w:cs="Arial"/>
          <w:lang w:val="en-GB"/>
        </w:rPr>
      </w:pPr>
    </w:p>
    <w:sectPr w:rsidR="00D42FC9">
      <w:footerReference w:type="default" r:id="rId9"/>
      <w:pgSz w:w="11906" w:h="16838"/>
      <w:pgMar w:top="1417" w:right="1417" w:bottom="1134" w:left="1417"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32" w:rsidRDefault="00437632">
      <w:pPr>
        <w:spacing w:after="0" w:line="240" w:lineRule="auto"/>
      </w:pPr>
      <w:r>
        <w:separator/>
      </w:r>
    </w:p>
  </w:endnote>
  <w:endnote w:type="continuationSeparator" w:id="0">
    <w:p w:rsidR="00437632" w:rsidRDefault="0043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nson Text LT">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014147"/>
      <w:docPartObj>
        <w:docPartGallery w:val="Page Numbers (Bottom of Page)"/>
        <w:docPartUnique/>
      </w:docPartObj>
    </w:sdtPr>
    <w:sdtEndPr/>
    <w:sdtContent>
      <w:p w:rsidR="00437632" w:rsidRDefault="00437632">
        <w:pPr>
          <w:pStyle w:val="Footer"/>
          <w:jc w:val="center"/>
        </w:pPr>
        <w:r>
          <w:fldChar w:fldCharType="begin"/>
        </w:r>
        <w:r>
          <w:instrText>PAGE</w:instrText>
        </w:r>
        <w:r>
          <w:fldChar w:fldCharType="separate"/>
        </w:r>
        <w:r w:rsidR="0016696A">
          <w:rPr>
            <w:noProof/>
          </w:rPr>
          <w:t>1</w:t>
        </w:r>
        <w:r>
          <w:fldChar w:fldCharType="end"/>
        </w:r>
      </w:p>
    </w:sdtContent>
  </w:sdt>
  <w:p w:rsidR="00437632" w:rsidRDefault="0043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32" w:rsidRDefault="00437632">
      <w:pPr>
        <w:spacing w:after="0" w:line="240" w:lineRule="auto"/>
      </w:pPr>
      <w:r>
        <w:separator/>
      </w:r>
    </w:p>
  </w:footnote>
  <w:footnote w:type="continuationSeparator" w:id="0">
    <w:p w:rsidR="00437632" w:rsidRDefault="00437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246C4"/>
    <w:multiLevelType w:val="multilevel"/>
    <w:tmpl w:val="FFB2E9BA"/>
    <w:lvl w:ilvl="0">
      <w:start w:val="1"/>
      <w:numFmt w:val="decimal"/>
      <w:pStyle w:val="Heading1"/>
      <w:lvlText w:val="%1"/>
      <w:lvlJc w:val="left"/>
      <w:pPr>
        <w:tabs>
          <w:tab w:val="num" w:pos="1587"/>
        </w:tabs>
        <w:ind w:left="1587" w:hanging="1587"/>
      </w:pPr>
    </w:lvl>
    <w:lvl w:ilvl="1">
      <w:start w:val="1"/>
      <w:numFmt w:val="decimal"/>
      <w:pStyle w:val="Heading2"/>
      <w:lvlText w:val="%1.%2"/>
      <w:lvlJc w:val="left"/>
      <w:pPr>
        <w:tabs>
          <w:tab w:val="num" w:pos="1587"/>
        </w:tabs>
        <w:ind w:left="1587" w:hanging="1587"/>
      </w:pPr>
    </w:lvl>
    <w:lvl w:ilvl="2">
      <w:start w:val="1"/>
      <w:numFmt w:val="decimal"/>
      <w:pStyle w:val="Heading3"/>
      <w:lvlText w:val="%1.%2.%3"/>
      <w:lvlJc w:val="left"/>
      <w:pPr>
        <w:tabs>
          <w:tab w:val="num" w:pos="1587"/>
        </w:tabs>
        <w:ind w:left="1587" w:hanging="1587"/>
      </w:pPr>
    </w:lvl>
    <w:lvl w:ilvl="3">
      <w:start w:val="1"/>
      <w:numFmt w:val="decimal"/>
      <w:pStyle w:val="Heading4"/>
      <w:lvlText w:val="%1.%2.%3.%4"/>
      <w:lvlJc w:val="left"/>
      <w:pPr>
        <w:tabs>
          <w:tab w:val="num" w:pos="2155"/>
        </w:tabs>
        <w:ind w:left="2155" w:hanging="1587"/>
      </w:pPr>
    </w:lvl>
    <w:lvl w:ilvl="4">
      <w:start w:val="1"/>
      <w:numFmt w:val="decimal"/>
      <w:pStyle w:val="Heading5"/>
      <w:lvlText w:val="%1.%2.%3.%4.%5"/>
      <w:lvlJc w:val="left"/>
      <w:pPr>
        <w:tabs>
          <w:tab w:val="num" w:pos="1587"/>
        </w:tabs>
        <w:ind w:left="1587" w:hanging="1587"/>
      </w:pPr>
    </w:lvl>
    <w:lvl w:ilvl="5">
      <w:start w:val="1"/>
      <w:numFmt w:val="decimal"/>
      <w:pStyle w:val="Heading6"/>
      <w:lvlText w:val="%1.%2.%3.%4.%5.%6"/>
      <w:lvlJc w:val="left"/>
      <w:pPr>
        <w:tabs>
          <w:tab w:val="num" w:pos="1587"/>
        </w:tabs>
        <w:ind w:left="1587" w:hanging="1587"/>
      </w:pPr>
    </w:lvl>
    <w:lvl w:ilvl="6">
      <w:start w:val="1"/>
      <w:numFmt w:val="decimal"/>
      <w:pStyle w:val="Heading7"/>
      <w:lvlText w:val="%1.%2.%3.%4.%5.%6.%7"/>
      <w:lvlJc w:val="left"/>
      <w:pPr>
        <w:tabs>
          <w:tab w:val="num" w:pos="1587"/>
        </w:tabs>
        <w:ind w:left="1587" w:hanging="1587"/>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C9"/>
    <w:rsid w:val="000316E0"/>
    <w:rsid w:val="00062490"/>
    <w:rsid w:val="000A78C5"/>
    <w:rsid w:val="000F242C"/>
    <w:rsid w:val="000F5599"/>
    <w:rsid w:val="001217DF"/>
    <w:rsid w:val="00145640"/>
    <w:rsid w:val="0016696A"/>
    <w:rsid w:val="002247E1"/>
    <w:rsid w:val="00242E89"/>
    <w:rsid w:val="004005A4"/>
    <w:rsid w:val="00437632"/>
    <w:rsid w:val="00547E98"/>
    <w:rsid w:val="005622CF"/>
    <w:rsid w:val="00712EDF"/>
    <w:rsid w:val="007936B0"/>
    <w:rsid w:val="007947D3"/>
    <w:rsid w:val="007C32ED"/>
    <w:rsid w:val="007F065A"/>
    <w:rsid w:val="0086223D"/>
    <w:rsid w:val="008A177A"/>
    <w:rsid w:val="009F5286"/>
    <w:rsid w:val="00A30038"/>
    <w:rsid w:val="00AD2640"/>
    <w:rsid w:val="00B95A7E"/>
    <w:rsid w:val="00C10655"/>
    <w:rsid w:val="00CC6FE7"/>
    <w:rsid w:val="00CD1E16"/>
    <w:rsid w:val="00CF270E"/>
    <w:rsid w:val="00D42FC9"/>
    <w:rsid w:val="00D650D8"/>
    <w:rsid w:val="00DD0AF7"/>
    <w:rsid w:val="00DD24A1"/>
    <w:rsid w:val="00F117A5"/>
    <w:rsid w:val="00F22F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92CF2-CF57-4FD4-8B9B-897B05A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next w:val="Tpara"/>
    <w:uiPriority w:val="9"/>
    <w:qFormat/>
    <w:rsid w:val="0038501F"/>
    <w:pPr>
      <w:keepNext/>
      <w:keepLines/>
      <w:numPr>
        <w:numId w:val="1"/>
      </w:numPr>
      <w:spacing w:before="240" w:after="120" w:line="380" w:lineRule="exact"/>
      <w:outlineLvl w:val="0"/>
    </w:pPr>
    <w:rPr>
      <w:rFonts w:ascii="Arial Unicode MS" w:eastAsia="Arial Unicode MS" w:hAnsi="Arial Unicode MS" w:cs="Arial"/>
      <w:bCs/>
      <w:color w:val="FF0000"/>
      <w:sz w:val="32"/>
      <w:szCs w:val="20"/>
      <w:lang w:eastAsia="de-DE"/>
    </w:rPr>
  </w:style>
  <w:style w:type="paragraph" w:styleId="Heading2">
    <w:name w:val="heading 2"/>
    <w:basedOn w:val="Heading1"/>
    <w:next w:val="Tpara"/>
    <w:uiPriority w:val="9"/>
    <w:qFormat/>
    <w:rsid w:val="0038501F"/>
    <w:pPr>
      <w:numPr>
        <w:ilvl w:val="1"/>
      </w:numPr>
      <w:spacing w:line="340" w:lineRule="exact"/>
      <w:outlineLvl w:val="1"/>
    </w:pPr>
    <w:rPr>
      <w:bCs w:val="0"/>
      <w:iCs/>
      <w:color w:val="0000FF"/>
      <w:sz w:val="28"/>
      <w:szCs w:val="28"/>
    </w:rPr>
  </w:style>
  <w:style w:type="paragraph" w:styleId="Heading3">
    <w:name w:val="heading 3"/>
    <w:basedOn w:val="Heading2"/>
    <w:next w:val="Tpara"/>
    <w:uiPriority w:val="9"/>
    <w:qFormat/>
    <w:rsid w:val="0038501F"/>
    <w:pPr>
      <w:numPr>
        <w:ilvl w:val="2"/>
      </w:numPr>
      <w:spacing w:line="300" w:lineRule="exact"/>
      <w:outlineLvl w:val="2"/>
    </w:pPr>
    <w:rPr>
      <w:bCs/>
      <w:color w:val="008000"/>
      <w:sz w:val="24"/>
      <w:szCs w:val="26"/>
    </w:rPr>
  </w:style>
  <w:style w:type="paragraph" w:styleId="Heading4">
    <w:name w:val="heading 4"/>
    <w:basedOn w:val="Heading3"/>
    <w:next w:val="Tpara"/>
    <w:uiPriority w:val="9"/>
    <w:qFormat/>
    <w:rsid w:val="0038501F"/>
    <w:pPr>
      <w:numPr>
        <w:ilvl w:val="3"/>
      </w:numPr>
      <w:tabs>
        <w:tab w:val="left" w:pos="1587"/>
      </w:tabs>
      <w:spacing w:line="280" w:lineRule="exact"/>
      <w:ind w:left="1587" w:firstLine="0"/>
      <w:outlineLvl w:val="3"/>
    </w:pPr>
    <w:rPr>
      <w:bCs w:val="0"/>
      <w:color w:val="FF6600"/>
      <w:sz w:val="22"/>
      <w:szCs w:val="28"/>
    </w:rPr>
  </w:style>
  <w:style w:type="paragraph" w:styleId="Heading5">
    <w:name w:val="heading 5"/>
    <w:basedOn w:val="Heading4"/>
    <w:next w:val="Tpara"/>
    <w:uiPriority w:val="9"/>
    <w:qFormat/>
    <w:rsid w:val="0038501F"/>
    <w:pPr>
      <w:numPr>
        <w:ilvl w:val="4"/>
      </w:numPr>
      <w:spacing w:line="260" w:lineRule="exact"/>
      <w:outlineLvl w:val="4"/>
    </w:pPr>
    <w:rPr>
      <w:bCs/>
      <w:iCs w:val="0"/>
      <w:color w:val="666699"/>
      <w:sz w:val="20"/>
      <w:szCs w:val="26"/>
    </w:rPr>
  </w:style>
  <w:style w:type="paragraph" w:styleId="Heading6">
    <w:name w:val="heading 6"/>
    <w:basedOn w:val="Heading5"/>
    <w:next w:val="Tpara"/>
    <w:uiPriority w:val="9"/>
    <w:qFormat/>
    <w:rsid w:val="0038501F"/>
    <w:pPr>
      <w:numPr>
        <w:ilvl w:val="5"/>
      </w:numPr>
      <w:outlineLvl w:val="5"/>
    </w:pPr>
    <w:rPr>
      <w:bCs w:val="0"/>
      <w:szCs w:val="22"/>
    </w:rPr>
  </w:style>
  <w:style w:type="paragraph" w:styleId="Heading7">
    <w:name w:val="heading 7"/>
    <w:basedOn w:val="Heading6"/>
    <w:next w:val="Tpara"/>
    <w:uiPriority w:val="9"/>
    <w:qFormat/>
    <w:rsid w:val="0038501F"/>
    <w:pPr>
      <w:numPr>
        <w:ilvl w:val="6"/>
      </w:numPr>
      <w:outlineLvl w:val="6"/>
    </w:pPr>
    <w:rPr>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raZchn">
    <w:name w:val="T_para Zchn"/>
    <w:basedOn w:val="DefaultParagraphFont"/>
    <w:link w:val="Tpara"/>
    <w:qFormat/>
    <w:rsid w:val="0038501F"/>
    <w:rPr>
      <w:rFonts w:ascii="Arial Unicode MS" w:eastAsia="Arial Unicode MS" w:hAnsi="Arial Unicode MS" w:cs="Times New Roman"/>
      <w:sz w:val="20"/>
      <w:szCs w:val="20"/>
      <w:lang w:eastAsia="de-DE"/>
    </w:rPr>
  </w:style>
  <w:style w:type="character" w:customStyle="1" w:styleId="berschrift1Zchn">
    <w:name w:val="Überschrift 1 Zchn"/>
    <w:basedOn w:val="DefaultParagraphFont"/>
    <w:uiPriority w:val="9"/>
    <w:qFormat/>
    <w:rsid w:val="0038501F"/>
    <w:rPr>
      <w:rFonts w:ascii="Arial Unicode MS" w:eastAsia="Arial Unicode MS" w:hAnsi="Arial Unicode MS" w:cs="Arial"/>
      <w:bCs/>
      <w:color w:val="FF0000"/>
      <w:sz w:val="32"/>
      <w:szCs w:val="20"/>
      <w:lang w:eastAsia="de-DE"/>
    </w:rPr>
  </w:style>
  <w:style w:type="character" w:customStyle="1" w:styleId="berschrift2Zchn">
    <w:name w:val="Überschrift 2 Zchn"/>
    <w:basedOn w:val="DefaultParagraphFont"/>
    <w:uiPriority w:val="9"/>
    <w:qFormat/>
    <w:rsid w:val="0038501F"/>
    <w:rPr>
      <w:rFonts w:ascii="Arial Unicode MS" w:eastAsia="Arial Unicode MS" w:hAnsi="Arial Unicode MS" w:cs="Arial"/>
      <w:iCs/>
      <w:color w:val="0000FF"/>
      <w:sz w:val="28"/>
      <w:szCs w:val="28"/>
      <w:lang w:eastAsia="de-DE"/>
    </w:rPr>
  </w:style>
  <w:style w:type="character" w:customStyle="1" w:styleId="berschrift3Zchn">
    <w:name w:val="Überschrift 3 Zchn"/>
    <w:basedOn w:val="DefaultParagraphFont"/>
    <w:uiPriority w:val="9"/>
    <w:qFormat/>
    <w:rsid w:val="0038501F"/>
    <w:rPr>
      <w:rFonts w:ascii="Arial Unicode MS" w:eastAsia="Arial Unicode MS" w:hAnsi="Arial Unicode MS" w:cs="Arial"/>
      <w:bCs/>
      <w:iCs/>
      <w:color w:val="008000"/>
      <w:sz w:val="24"/>
      <w:szCs w:val="26"/>
      <w:lang w:eastAsia="de-DE"/>
    </w:rPr>
  </w:style>
  <w:style w:type="character" w:customStyle="1" w:styleId="berschrift4Zchn">
    <w:name w:val="Überschrift 4 Zchn"/>
    <w:basedOn w:val="DefaultParagraphFont"/>
    <w:uiPriority w:val="9"/>
    <w:qFormat/>
    <w:rsid w:val="0038501F"/>
    <w:rPr>
      <w:rFonts w:ascii="Arial Unicode MS" w:eastAsia="Arial Unicode MS" w:hAnsi="Arial Unicode MS" w:cs="Arial"/>
      <w:iCs/>
      <w:color w:val="FF6600"/>
      <w:szCs w:val="28"/>
      <w:lang w:eastAsia="de-DE"/>
    </w:rPr>
  </w:style>
  <w:style w:type="character" w:customStyle="1" w:styleId="berschrift5Zchn">
    <w:name w:val="Überschrift 5 Zchn"/>
    <w:basedOn w:val="DefaultParagraphFont"/>
    <w:uiPriority w:val="9"/>
    <w:qFormat/>
    <w:rsid w:val="0038501F"/>
    <w:rPr>
      <w:rFonts w:ascii="Arial Unicode MS" w:eastAsia="Arial Unicode MS" w:hAnsi="Arial Unicode MS" w:cs="Arial"/>
      <w:bCs/>
      <w:color w:val="666699"/>
      <w:sz w:val="20"/>
      <w:szCs w:val="26"/>
      <w:lang w:eastAsia="de-DE"/>
    </w:rPr>
  </w:style>
  <w:style w:type="character" w:customStyle="1" w:styleId="berschrift6Zchn">
    <w:name w:val="Überschrift 6 Zchn"/>
    <w:basedOn w:val="DefaultParagraphFont"/>
    <w:uiPriority w:val="9"/>
    <w:qFormat/>
    <w:rsid w:val="0038501F"/>
    <w:rPr>
      <w:rFonts w:ascii="Arial Unicode MS" w:eastAsia="Arial Unicode MS" w:hAnsi="Arial Unicode MS" w:cs="Arial"/>
      <w:color w:val="666699"/>
      <w:sz w:val="20"/>
      <w:lang w:eastAsia="de-DE"/>
    </w:rPr>
  </w:style>
  <w:style w:type="character" w:customStyle="1" w:styleId="berschrift7Zchn">
    <w:name w:val="Überschrift 7 Zchn"/>
    <w:basedOn w:val="DefaultParagraphFont"/>
    <w:uiPriority w:val="9"/>
    <w:qFormat/>
    <w:rsid w:val="0038501F"/>
    <w:rPr>
      <w:rFonts w:ascii="Arial Unicode MS" w:eastAsia="Arial Unicode MS" w:hAnsi="Arial Unicode MS" w:cs="Arial"/>
      <w:color w:val="808080"/>
      <w:sz w:val="18"/>
      <w:lang w:eastAsia="de-DE"/>
    </w:rPr>
  </w:style>
  <w:style w:type="character" w:customStyle="1" w:styleId="highlight">
    <w:name w:val="highlight"/>
    <w:basedOn w:val="DefaultParagraphFont"/>
    <w:qFormat/>
    <w:rsid w:val="0028517B"/>
  </w:style>
  <w:style w:type="character" w:customStyle="1" w:styleId="mim-font">
    <w:name w:val="mim-font"/>
    <w:basedOn w:val="DefaultParagraphFont"/>
    <w:qFormat/>
    <w:rsid w:val="000E4897"/>
  </w:style>
  <w:style w:type="character" w:customStyle="1" w:styleId="Internetverknpfung">
    <w:name w:val="Internetverknüpfung"/>
    <w:basedOn w:val="DefaultParagraphFont"/>
    <w:uiPriority w:val="99"/>
    <w:semiHidden/>
    <w:unhideWhenUsed/>
    <w:rsid w:val="00CD5F99"/>
    <w:rPr>
      <w:color w:val="0000FF"/>
      <w:u w:val="single"/>
    </w:rPr>
  </w:style>
  <w:style w:type="character" w:customStyle="1" w:styleId="BodyTextChar">
    <w:name w:val="Body Text Char"/>
    <w:basedOn w:val="DefaultParagraphFont"/>
    <w:link w:val="BodyText"/>
    <w:qFormat/>
    <w:rsid w:val="00B20917"/>
    <w:rPr>
      <w:rFonts w:ascii="Times New Roman" w:eastAsia="Times New Roman" w:hAnsi="Times New Roman" w:cs="Times New Roman"/>
      <w:sz w:val="24"/>
      <w:szCs w:val="20"/>
      <w:lang w:eastAsia="de-DE"/>
    </w:rPr>
  </w:style>
  <w:style w:type="character" w:customStyle="1" w:styleId="EndNoteBibliographyZchn">
    <w:name w:val="EndNote Bibliography Zchn"/>
    <w:basedOn w:val="DefaultParagraphFont"/>
    <w:link w:val="EndNoteBibliography"/>
    <w:qFormat/>
    <w:rsid w:val="00FD0D3E"/>
    <w:rPr>
      <w:rFonts w:ascii="Times New Roman" w:hAnsi="Times New Roman" w:cs="Times New Roman"/>
      <w:sz w:val="24"/>
      <w:lang w:val="en-US"/>
    </w:rPr>
  </w:style>
  <w:style w:type="character" w:customStyle="1" w:styleId="A4">
    <w:name w:val="A4"/>
    <w:uiPriority w:val="99"/>
    <w:qFormat/>
    <w:rsid w:val="005C7E2D"/>
    <w:rPr>
      <w:rFonts w:cs="Janson Text LT"/>
      <w:color w:val="000000"/>
      <w:sz w:val="17"/>
      <w:szCs w:val="17"/>
    </w:rPr>
  </w:style>
  <w:style w:type="character" w:customStyle="1" w:styleId="Betont">
    <w:name w:val="Betont"/>
    <w:basedOn w:val="DefaultParagraphFont"/>
    <w:uiPriority w:val="20"/>
    <w:qFormat/>
    <w:rsid w:val="001475B4"/>
    <w:rPr>
      <w:i/>
      <w:iCs/>
    </w:rPr>
  </w:style>
  <w:style w:type="character" w:customStyle="1" w:styleId="e24kjd">
    <w:name w:val="e24kjd"/>
    <w:qFormat/>
    <w:rsid w:val="00552927"/>
  </w:style>
  <w:style w:type="character" w:customStyle="1" w:styleId="BalloonTextChar">
    <w:name w:val="Balloon Text Char"/>
    <w:basedOn w:val="DefaultParagraphFont"/>
    <w:link w:val="BalloonText"/>
    <w:uiPriority w:val="99"/>
    <w:semiHidden/>
    <w:qFormat/>
    <w:rsid w:val="00762EFC"/>
    <w:rPr>
      <w:rFonts w:ascii="Segoe UI" w:hAnsi="Segoe UI" w:cs="Segoe UI"/>
      <w:sz w:val="18"/>
      <w:szCs w:val="18"/>
    </w:rPr>
  </w:style>
  <w:style w:type="character" w:customStyle="1" w:styleId="HeaderChar">
    <w:name w:val="Header Char"/>
    <w:basedOn w:val="DefaultParagraphFont"/>
    <w:link w:val="Header"/>
    <w:uiPriority w:val="99"/>
    <w:qFormat/>
    <w:rsid w:val="000C65C5"/>
  </w:style>
  <w:style w:type="character" w:customStyle="1" w:styleId="FooterChar">
    <w:name w:val="Footer Char"/>
    <w:basedOn w:val="DefaultParagraphFont"/>
    <w:link w:val="Footer"/>
    <w:uiPriority w:val="99"/>
    <w:qFormat/>
    <w:rsid w:val="000C65C5"/>
  </w:style>
  <w:style w:type="character" w:customStyle="1" w:styleId="HTMLPreformattedChar">
    <w:name w:val="HTML Preformatted Char"/>
    <w:basedOn w:val="DefaultParagraphFont"/>
    <w:link w:val="HTMLPreformatted"/>
    <w:qFormat/>
    <w:rsid w:val="00DC0196"/>
    <w:rPr>
      <w:rFonts w:ascii="Courier New" w:eastAsia="Times New Roman" w:hAnsi="Courier New" w:cs="Courier New"/>
      <w:sz w:val="20"/>
      <w:szCs w:val="20"/>
      <w:lang w:eastAsia="ar-SA"/>
    </w:rPr>
  </w:style>
  <w:style w:type="paragraph" w:customStyle="1" w:styleId="berschrift">
    <w:name w:val="Überschrift"/>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20917"/>
    <w:pPr>
      <w:spacing w:after="0" w:line="240" w:lineRule="auto"/>
    </w:pPr>
    <w:rPr>
      <w:rFonts w:ascii="Times New Roman" w:eastAsia="Times New Roman" w:hAnsi="Times New Roman" w:cs="Times New Roman"/>
      <w:sz w:val="24"/>
      <w:szCs w:val="20"/>
      <w:lang w:eastAsia="de-D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Verzeichnis">
    <w:name w:val="Verzeichnis"/>
    <w:basedOn w:val="Normal"/>
    <w:qFormat/>
    <w:pPr>
      <w:suppressLineNumbers/>
    </w:pPr>
    <w:rPr>
      <w:rFonts w:cs="Arial"/>
    </w:rPr>
  </w:style>
  <w:style w:type="paragraph" w:customStyle="1" w:styleId="Tpara">
    <w:name w:val="T_para"/>
    <w:basedOn w:val="Normal"/>
    <w:link w:val="TparaZchn"/>
    <w:qFormat/>
    <w:rsid w:val="0038501F"/>
    <w:pPr>
      <w:widowControl w:val="0"/>
      <w:spacing w:after="120" w:line="260" w:lineRule="exact"/>
    </w:pPr>
    <w:rPr>
      <w:rFonts w:ascii="Arial Unicode MS" w:eastAsia="Arial Unicode MS" w:hAnsi="Arial Unicode MS" w:cs="Times New Roman"/>
      <w:sz w:val="20"/>
      <w:szCs w:val="20"/>
      <w:lang w:eastAsia="de-DE"/>
    </w:rPr>
  </w:style>
  <w:style w:type="paragraph" w:customStyle="1" w:styleId="Tlisting-dash1">
    <w:name w:val="T_listing-dash1"/>
    <w:basedOn w:val="Normal"/>
    <w:qFormat/>
    <w:rsid w:val="0038501F"/>
    <w:pPr>
      <w:widowControl w:val="0"/>
      <w:tabs>
        <w:tab w:val="left" w:pos="369"/>
      </w:tabs>
      <w:spacing w:after="0" w:line="260" w:lineRule="exact"/>
      <w:ind w:left="369"/>
    </w:pPr>
    <w:rPr>
      <w:rFonts w:ascii="Arial Unicode MS" w:eastAsia="Arial Unicode MS" w:hAnsi="Arial Unicode MS" w:cs="Times New Roman"/>
      <w:sz w:val="20"/>
      <w:szCs w:val="20"/>
      <w:lang w:eastAsia="de-DE"/>
    </w:rPr>
  </w:style>
  <w:style w:type="paragraph" w:customStyle="1" w:styleId="Tlisting-dash2">
    <w:name w:val="T_listing-dash2"/>
    <w:basedOn w:val="Normal"/>
    <w:qFormat/>
    <w:rsid w:val="0038501F"/>
    <w:pPr>
      <w:widowControl w:val="0"/>
      <w:spacing w:after="0" w:line="260" w:lineRule="exact"/>
    </w:pPr>
    <w:rPr>
      <w:rFonts w:ascii="Arial Unicode MS" w:eastAsia="Arial Unicode MS" w:hAnsi="Arial Unicode MS" w:cs="Times New Roman"/>
      <w:sz w:val="20"/>
      <w:szCs w:val="20"/>
      <w:lang w:eastAsia="de-DE"/>
    </w:rPr>
  </w:style>
  <w:style w:type="paragraph" w:customStyle="1" w:styleId="GS">
    <w:name w:val="&lt;GS&gt;"/>
    <w:qFormat/>
    <w:rsid w:val="0038501F"/>
    <w:pPr>
      <w:spacing w:before="62" w:line="240" w:lineRule="atLeast"/>
    </w:pPr>
    <w:rPr>
      <w:rFonts w:ascii="Arial" w:eastAsia="SimSun" w:hAnsi="Arial" w:cs="Arial"/>
      <w:color w:val="000000"/>
      <w:sz w:val="22"/>
      <w:szCs w:val="20"/>
      <w:lang w:eastAsia="ar-SA"/>
    </w:rPr>
  </w:style>
  <w:style w:type="paragraph" w:customStyle="1" w:styleId="TGS">
    <w:name w:val="&lt;T_GS&gt;"/>
    <w:qFormat/>
    <w:rsid w:val="0038501F"/>
    <w:pPr>
      <w:widowControl w:val="0"/>
      <w:spacing w:after="120" w:line="260" w:lineRule="exact"/>
    </w:pPr>
    <w:rPr>
      <w:rFonts w:ascii="Arial Unicode MS" w:eastAsia="Arial Unicode MS" w:hAnsi="Arial Unicode MS" w:cs="Arial Unicode MS"/>
      <w:color w:val="000000"/>
      <w:sz w:val="22"/>
      <w:szCs w:val="20"/>
      <w:u w:color="000000"/>
      <w:lang w:eastAsia="zh-CN"/>
    </w:rPr>
  </w:style>
  <w:style w:type="paragraph" w:customStyle="1" w:styleId="Grundschrift">
    <w:name w:val="Grundschrift"/>
    <w:basedOn w:val="Normal"/>
    <w:qFormat/>
    <w:rsid w:val="0038501F"/>
    <w:pPr>
      <w:spacing w:before="180" w:after="60" w:line="240" w:lineRule="auto"/>
    </w:pPr>
    <w:rPr>
      <w:rFonts w:ascii="Times New Roman" w:eastAsia="Times New Roman" w:hAnsi="Times New Roman" w:cs="Times New Roman"/>
      <w:sz w:val="19"/>
    </w:rPr>
  </w:style>
  <w:style w:type="paragraph" w:customStyle="1" w:styleId="Tlex-author">
    <w:name w:val="T_lex-author"/>
    <w:basedOn w:val="Tpara"/>
    <w:next w:val="Normal"/>
    <w:qFormat/>
    <w:rsid w:val="00C57A51"/>
    <w:rPr>
      <w:color w:val="000080"/>
    </w:rPr>
  </w:style>
  <w:style w:type="paragraph" w:styleId="ListParagraph">
    <w:name w:val="List Paragraph"/>
    <w:basedOn w:val="Normal"/>
    <w:uiPriority w:val="34"/>
    <w:qFormat/>
    <w:rsid w:val="008623A3"/>
    <w:pPr>
      <w:spacing w:after="0" w:line="240" w:lineRule="auto"/>
      <w:ind w:left="720"/>
      <w:contextualSpacing/>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qFormat/>
    <w:rsid w:val="003B4E8E"/>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EndNoteBibliography">
    <w:name w:val="EndNote Bibliography"/>
    <w:basedOn w:val="Normal"/>
    <w:link w:val="EndNoteBibliographyZchn"/>
    <w:qFormat/>
    <w:rsid w:val="00FD0D3E"/>
    <w:pPr>
      <w:spacing w:before="120" w:after="240" w:line="240" w:lineRule="auto"/>
    </w:pPr>
    <w:rPr>
      <w:rFonts w:ascii="Times New Roman" w:hAnsi="Times New Roman" w:cs="Times New Roman"/>
      <w:sz w:val="24"/>
      <w:lang w:val="en-US"/>
    </w:rPr>
  </w:style>
  <w:style w:type="paragraph" w:customStyle="1" w:styleId="Default">
    <w:name w:val="Default"/>
    <w:qFormat/>
    <w:rsid w:val="005C7E2D"/>
    <w:rPr>
      <w:rFonts w:ascii="Janson Text LT" w:eastAsia="Calibri" w:hAnsi="Janson Text LT" w:cs="Janson Text LT"/>
      <w:color w:val="000000"/>
      <w:sz w:val="24"/>
      <w:szCs w:val="24"/>
    </w:rPr>
  </w:style>
  <w:style w:type="paragraph" w:customStyle="1" w:styleId="Tabelleninhalt">
    <w:name w:val="Tabelleninhalt"/>
    <w:basedOn w:val="Normal"/>
    <w:qFormat/>
    <w:rsid w:val="00A34F3E"/>
    <w:pPr>
      <w:widowControl w:val="0"/>
      <w:suppressLineNumbers/>
      <w:spacing w:after="0" w:line="240" w:lineRule="auto"/>
    </w:pPr>
    <w:rPr>
      <w:rFonts w:ascii="Times New Roman" w:eastAsia="SimSun" w:hAnsi="Times New Roman" w:cs="Mangal"/>
      <w:kern w:val="2"/>
      <w:sz w:val="24"/>
      <w:szCs w:val="24"/>
      <w:lang w:eastAsia="zh-CN" w:bidi="hi-IN"/>
    </w:rPr>
  </w:style>
  <w:style w:type="paragraph" w:customStyle="1" w:styleId="Tabellenberschrift">
    <w:name w:val="Tabellenüberschrift"/>
    <w:basedOn w:val="Tabelleninhalt"/>
    <w:qFormat/>
    <w:rsid w:val="00A34F3E"/>
    <w:pPr>
      <w:jc w:val="center"/>
    </w:pPr>
    <w:rPr>
      <w:b/>
      <w:bCs/>
    </w:rPr>
  </w:style>
  <w:style w:type="paragraph" w:styleId="BalloonText">
    <w:name w:val="Balloon Text"/>
    <w:basedOn w:val="Normal"/>
    <w:link w:val="BalloonTextChar"/>
    <w:uiPriority w:val="99"/>
    <w:semiHidden/>
    <w:unhideWhenUsed/>
    <w:qFormat/>
    <w:rsid w:val="00762EFC"/>
    <w:pPr>
      <w:spacing w:after="0" w:line="240" w:lineRule="auto"/>
    </w:pPr>
    <w:rPr>
      <w:rFonts w:ascii="Segoe UI" w:hAnsi="Segoe UI" w:cs="Segoe UI"/>
      <w:sz w:val="18"/>
      <w:szCs w:val="18"/>
    </w:rPr>
  </w:style>
  <w:style w:type="paragraph" w:customStyle="1" w:styleId="Kopf-undFuzeile">
    <w:name w:val="Kopf- und Fußzeile"/>
    <w:basedOn w:val="Normal"/>
    <w:qFormat/>
  </w:style>
  <w:style w:type="paragraph" w:styleId="Header">
    <w:name w:val="header"/>
    <w:basedOn w:val="Normal"/>
    <w:link w:val="HeaderChar"/>
    <w:uiPriority w:val="99"/>
    <w:unhideWhenUsed/>
    <w:rsid w:val="000C65C5"/>
    <w:pPr>
      <w:tabs>
        <w:tab w:val="center" w:pos="4536"/>
        <w:tab w:val="right" w:pos="9072"/>
      </w:tabs>
      <w:spacing w:after="0" w:line="240" w:lineRule="auto"/>
    </w:pPr>
  </w:style>
  <w:style w:type="paragraph" w:styleId="Footer">
    <w:name w:val="footer"/>
    <w:basedOn w:val="Normal"/>
    <w:link w:val="FooterChar"/>
    <w:uiPriority w:val="99"/>
    <w:unhideWhenUsed/>
    <w:rsid w:val="000C65C5"/>
    <w:pPr>
      <w:tabs>
        <w:tab w:val="center" w:pos="4536"/>
        <w:tab w:val="right" w:pos="9072"/>
      </w:tabs>
      <w:spacing w:after="0" w:line="240" w:lineRule="auto"/>
    </w:pPr>
  </w:style>
  <w:style w:type="paragraph" w:styleId="HTMLPreformatted">
    <w:name w:val="HTML Preformatted"/>
    <w:basedOn w:val="Normal"/>
    <w:link w:val="HTMLPreformattedChar"/>
    <w:qFormat/>
    <w:rsid w:val="00DC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styleId="CommentReference">
    <w:name w:val="annotation reference"/>
    <w:basedOn w:val="DefaultParagraphFont"/>
    <w:uiPriority w:val="99"/>
    <w:semiHidden/>
    <w:unhideWhenUsed/>
    <w:rsid w:val="007947D3"/>
    <w:rPr>
      <w:sz w:val="16"/>
      <w:szCs w:val="16"/>
    </w:rPr>
  </w:style>
  <w:style w:type="paragraph" w:styleId="CommentText">
    <w:name w:val="annotation text"/>
    <w:basedOn w:val="Normal"/>
    <w:link w:val="CommentTextChar"/>
    <w:uiPriority w:val="99"/>
    <w:semiHidden/>
    <w:unhideWhenUsed/>
    <w:rsid w:val="007947D3"/>
    <w:pPr>
      <w:spacing w:line="240" w:lineRule="auto"/>
    </w:pPr>
    <w:rPr>
      <w:sz w:val="20"/>
      <w:szCs w:val="20"/>
    </w:rPr>
  </w:style>
  <w:style w:type="character" w:customStyle="1" w:styleId="CommentTextChar">
    <w:name w:val="Comment Text Char"/>
    <w:basedOn w:val="DefaultParagraphFont"/>
    <w:link w:val="CommentText"/>
    <w:uiPriority w:val="99"/>
    <w:semiHidden/>
    <w:rsid w:val="007947D3"/>
    <w:rPr>
      <w:szCs w:val="20"/>
    </w:rPr>
  </w:style>
  <w:style w:type="paragraph" w:styleId="CommentSubject">
    <w:name w:val="annotation subject"/>
    <w:basedOn w:val="CommentText"/>
    <w:next w:val="CommentText"/>
    <w:link w:val="CommentSubjectChar"/>
    <w:uiPriority w:val="99"/>
    <w:semiHidden/>
    <w:unhideWhenUsed/>
    <w:rsid w:val="007947D3"/>
    <w:rPr>
      <w:b/>
      <w:bCs/>
    </w:rPr>
  </w:style>
  <w:style w:type="character" w:customStyle="1" w:styleId="CommentSubjectChar">
    <w:name w:val="Comment Subject Char"/>
    <w:basedOn w:val="CommentTextChar"/>
    <w:link w:val="CommentSubject"/>
    <w:uiPriority w:val="99"/>
    <w:semiHidden/>
    <w:rsid w:val="007947D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46CB-EE4C-409C-AE59-FA185426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Uniklinik Bonn</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Kornblum</dc:creator>
  <dc:description/>
  <cp:lastModifiedBy>Devendran S</cp:lastModifiedBy>
  <cp:revision>2</cp:revision>
  <cp:lastPrinted>2021-07-26T14:32:00Z</cp:lastPrinted>
  <dcterms:created xsi:type="dcterms:W3CDTF">2021-08-24T13:17:00Z</dcterms:created>
  <dcterms:modified xsi:type="dcterms:W3CDTF">2021-08-24T13:17:00Z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Uniklinik Bonn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