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9D" w:rsidRDefault="0062279D"/>
    <w:p w:rsidR="00D136A1" w:rsidRDefault="00D136A1"/>
    <w:p w:rsidR="00D136A1" w:rsidRPr="00821F4D" w:rsidRDefault="00D136A1" w:rsidP="00D136A1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t xml:space="preserve">SUPPLEMENTARY MATERIALS </w:t>
      </w:r>
    </w:p>
    <w:p w:rsidR="00D136A1" w:rsidRPr="00821F4D" w:rsidRDefault="00D136A1" w:rsidP="00D136A1">
      <w:pPr>
        <w:spacing w:after="0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t>Table S1</w:t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821F4D">
        <w:rPr>
          <w:rFonts w:ascii="Arial" w:eastAsia="Times New Roman" w:hAnsi="Arial" w:cs="Arial"/>
          <w:sz w:val="24"/>
          <w:szCs w:val="24"/>
          <w:lang w:val="en-GB"/>
        </w:rPr>
        <w:t>Eteplirsen</w:t>
      </w:r>
      <w:proofErr w:type="spellEnd"/>
      <w:r w:rsidRPr="00821F4D">
        <w:rPr>
          <w:rFonts w:ascii="Arial" w:eastAsia="Times New Roman" w:hAnsi="Arial" w:cs="Arial"/>
          <w:sz w:val="24"/>
          <w:szCs w:val="24"/>
          <w:lang w:val="en-GB"/>
        </w:rPr>
        <w:t>-treated and CINRG DNHS cohorts: demographic and selected variables at baseline and last visit</w:t>
      </w:r>
    </w:p>
    <w:tbl>
      <w:tblPr>
        <w:tblStyle w:val="C-Table"/>
        <w:tblW w:w="50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0"/>
        <w:gridCol w:w="272"/>
        <w:gridCol w:w="24"/>
        <w:gridCol w:w="437"/>
        <w:gridCol w:w="544"/>
        <w:gridCol w:w="544"/>
        <w:gridCol w:w="549"/>
        <w:gridCol w:w="1915"/>
        <w:gridCol w:w="1744"/>
        <w:gridCol w:w="1275"/>
        <w:gridCol w:w="1275"/>
        <w:gridCol w:w="1326"/>
        <w:gridCol w:w="40"/>
        <w:gridCol w:w="888"/>
        <w:gridCol w:w="914"/>
      </w:tblGrid>
      <w:tr w:rsidR="00D136A1" w:rsidRPr="00821F4D" w:rsidTr="009D6A99">
        <w:trPr>
          <w:tblHeader/>
        </w:trPr>
        <w:tc>
          <w:tcPr>
            <w:tcW w:w="698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360" w:lineRule="auto"/>
              <w:rPr>
                <w:rFonts w:ascii="Arial" w:hAnsi="Arial" w:cs="Arial"/>
                <w:b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Parameter</w:t>
            </w:r>
          </w:p>
        </w:tc>
        <w:tc>
          <w:tcPr>
            <w:tcW w:w="581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Patients Aged 10 to &lt;18 Years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Studies 201/202</w:t>
            </w: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br/>
              <w:t>(N=12)</w:t>
            </w: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Study 204</w:t>
            </w: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br/>
              <w:t>(N=20)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Study 301</w:t>
            </w: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br/>
              <w:t>(N=42)</w:t>
            </w:r>
          </w:p>
        </w:tc>
        <w:tc>
          <w:tcPr>
            <w:tcW w:w="478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Exon 51 CINRG</w:t>
            </w:r>
            <w:r w:rsidRPr="00821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 xml:space="preserve">DNHS </w:t>
            </w: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br/>
              <w:t>(n=20)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Genotyped</w:t>
            </w:r>
          </w:p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CINRG</w:t>
            </w:r>
            <w:r w:rsidRPr="00821F4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DNHS</w:t>
            </w:r>
          </w:p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(n=148)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All</w:t>
            </w:r>
          </w:p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CINRG DNHS</w:t>
            </w:r>
          </w:p>
          <w:p w:rsidR="00D136A1" w:rsidRPr="00821F4D" w:rsidRDefault="00D136A1" w:rsidP="009D6A99">
            <w:pPr>
              <w:spacing w:line="360" w:lineRule="auto"/>
              <w:jc w:val="center"/>
              <w:rPr>
                <w:rFonts w:ascii="Arial" w:eastAsiaTheme="minorHAnsi" w:hAnsi="Arial" w:cs="Arial"/>
                <w:b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b/>
                <w:sz w:val="22"/>
                <w:szCs w:val="22"/>
              </w:rPr>
              <w:t>(N=172)</w:t>
            </w:r>
          </w:p>
        </w:tc>
      </w:tr>
      <w:tr w:rsidR="00D136A1" w:rsidRPr="00821F4D" w:rsidTr="009D6A99">
        <w:tc>
          <w:tcPr>
            <w:tcW w:w="596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Race, n (%)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White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 (92)</w:t>
            </w:r>
          </w:p>
        </w:tc>
        <w:tc>
          <w:tcPr>
            <w:tcW w:w="654" w:type="pct"/>
            <w:tcBorders>
              <w:top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19 (95)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35 (83)</w:t>
            </w:r>
          </w:p>
        </w:tc>
        <w:tc>
          <w:tcPr>
            <w:tcW w:w="478" w:type="pct"/>
            <w:tcBorders>
              <w:top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16 (80)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116 (78)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</w:tcBorders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134 (78)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Asian</w:t>
            </w:r>
          </w:p>
        </w:tc>
        <w:tc>
          <w:tcPr>
            <w:tcW w:w="924" w:type="pct"/>
            <w:gridSpan w:val="2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(8)</w:t>
            </w:r>
          </w:p>
        </w:tc>
        <w:tc>
          <w:tcPr>
            <w:tcW w:w="654" w:type="pct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(5)</w:t>
            </w:r>
          </w:p>
        </w:tc>
        <w:tc>
          <w:tcPr>
            <w:tcW w:w="478" w:type="pct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 (5)</w:t>
            </w:r>
          </w:p>
        </w:tc>
        <w:tc>
          <w:tcPr>
            <w:tcW w:w="478" w:type="pct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 (15)</w:t>
            </w:r>
          </w:p>
        </w:tc>
        <w:tc>
          <w:tcPr>
            <w:tcW w:w="512" w:type="pct"/>
            <w:gridSpan w:val="2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19 (13)</w:t>
            </w:r>
          </w:p>
        </w:tc>
        <w:tc>
          <w:tcPr>
            <w:tcW w:w="675" w:type="pct"/>
            <w:gridSpan w:val="2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24 (14)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 xml:space="preserve">Black </w:t>
            </w:r>
          </w:p>
        </w:tc>
        <w:tc>
          <w:tcPr>
            <w:tcW w:w="924" w:type="pct"/>
            <w:gridSpan w:val="2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478" w:type="pct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(2)</w:t>
            </w:r>
          </w:p>
        </w:tc>
        <w:tc>
          <w:tcPr>
            <w:tcW w:w="478" w:type="pct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 (1)</w:t>
            </w:r>
          </w:p>
        </w:tc>
        <w:tc>
          <w:tcPr>
            <w:tcW w:w="675" w:type="pct"/>
            <w:gridSpan w:val="2"/>
            <w:vAlign w:val="bottom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 (1)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Native Hawaiian or other Pacific Islander</w:t>
            </w:r>
          </w:p>
        </w:tc>
        <w:tc>
          <w:tcPr>
            <w:tcW w:w="924" w:type="pct"/>
            <w:gridSpan w:val="2"/>
            <w:vAlign w:val="center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  <w:vAlign w:val="center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478" w:type="pct"/>
            <w:vAlign w:val="center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 (5)</w:t>
            </w:r>
          </w:p>
        </w:tc>
        <w:tc>
          <w:tcPr>
            <w:tcW w:w="478" w:type="pct"/>
            <w:vAlign w:val="center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  <w:vAlign w:val="center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 (1)</w:t>
            </w:r>
          </w:p>
        </w:tc>
        <w:tc>
          <w:tcPr>
            <w:tcW w:w="675" w:type="pct"/>
            <w:gridSpan w:val="2"/>
            <w:vAlign w:val="center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 (1)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Other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 (5)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(5)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9 (6)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 ( 6)</w:t>
            </w:r>
          </w:p>
        </w:tc>
      </w:tr>
      <w:tr w:rsidR="00D136A1" w:rsidRPr="00821F4D" w:rsidTr="009D6A99">
        <w:tc>
          <w:tcPr>
            <w:tcW w:w="596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Ethnicity, n (%)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Hispanic or Latino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(5)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 (10)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(5)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20 (14)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23 (13)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Not Hispanic or Latino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 (100)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18 (90)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37 (88)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19 (95)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128 (86)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149 (87)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Not reported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(5)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Unknown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(2)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 xml:space="preserve">Age at baseline, years </w:t>
            </w: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10.32 (0.301)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13.04 (2.276)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11.07 (1.440)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11.78 (2.235)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11.73 (1.971)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11.65 (1.909)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10.24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12.97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10.37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10.40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10.86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10.83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10.0, 11.0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10.0, 17.3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10.0, 16.3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10.0, 17.9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10.0, 17.9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10.0, 17.9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Age at last visit, years</w:t>
            </w: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13.89 (1.177)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14.51 (2.426)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12.15 (1.822)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14.82 (2.497)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14.89 (2.471)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14.64 (2.49)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tabs>
                <w:tab w:val="left" w:pos="564"/>
                <w:tab w:val="center" w:pos="1035"/>
              </w:tabs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14.38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14.80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11.71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15.01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15.18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14.90</w:t>
            </w:r>
          </w:p>
        </w:tc>
      </w:tr>
      <w:tr w:rsidR="00D136A1" w:rsidRPr="00821F4D" w:rsidTr="009D6A99">
        <w:trPr>
          <w:trHeight w:val="234"/>
        </w:trPr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11.9, 15.2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10.3, 18.0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10.2, 17.7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10.4, 17.9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10.0, 18.0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10.0, 18.0</w:t>
            </w:r>
          </w:p>
        </w:tc>
      </w:tr>
      <w:tr w:rsidR="00D136A1" w:rsidRPr="00821F4D" w:rsidTr="009D6A99">
        <w:trPr>
          <w:trHeight w:val="359"/>
        </w:trPr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Standing height at baseline, cm</w:t>
            </w: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39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87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106</w:t>
            </w:r>
          </w:p>
        </w:tc>
      </w:tr>
      <w:tr w:rsidR="00D136A1" w:rsidRPr="00821F4D" w:rsidTr="009D6A99">
        <w:tc>
          <w:tcPr>
            <w:tcW w:w="1075" w:type="pct"/>
            <w:gridSpan w:val="5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1128" w:type="pct"/>
            <w:gridSpan w:val="3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126.12 (7.596)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127.30 (11.286)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130.46 (7.244)</w:t>
            </w:r>
          </w:p>
        </w:tc>
        <w:tc>
          <w:tcPr>
            <w:tcW w:w="497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131.45 (7.604)</w:t>
            </w:r>
          </w:p>
        </w:tc>
        <w:tc>
          <w:tcPr>
            <w:tcW w:w="348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 xml:space="preserve">130.54 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(8.381)</w:t>
            </w:r>
          </w:p>
        </w:tc>
        <w:tc>
          <w:tcPr>
            <w:tcW w:w="343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129.88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(8.195)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124.90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126.50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130.70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131.60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130.00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129.75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116.0, 140.5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113.6, 150.0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116.7, 148.5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119.0, 145.0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114.0, 157.3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114.0, 157.3</w:t>
            </w:r>
          </w:p>
        </w:tc>
      </w:tr>
      <w:tr w:rsidR="00D136A1" w:rsidRPr="00821F4D" w:rsidTr="009D6A99">
        <w:tc>
          <w:tcPr>
            <w:tcW w:w="596" w:type="pct"/>
            <w:vMerge w:val="restart"/>
          </w:tcPr>
          <w:p w:rsidR="00D136A1" w:rsidRPr="00821F4D" w:rsidRDefault="00D136A1" w:rsidP="009D6A99">
            <w:pPr>
              <w:keepNext/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Standing height at last visit, cm</w:t>
            </w: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35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47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59</w:t>
            </w:r>
          </w:p>
        </w:tc>
      </w:tr>
      <w:tr w:rsidR="00D136A1" w:rsidRPr="00821F4D" w:rsidTr="009D6A99">
        <w:tc>
          <w:tcPr>
            <w:tcW w:w="596" w:type="pct"/>
            <w:vMerge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137.36 (13.757)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138.57 (18.959)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133.27 (9.581)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130.93 (8.364)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135.12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(11.194)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134.05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(10.695)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132.95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133.00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132.00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128.65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130.60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130.80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122.4, 163.6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117.0, 164.6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117.8, 156.5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122.0, 149.5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116.1, 164.5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116.1, 164.5</w:t>
            </w:r>
          </w:p>
        </w:tc>
      </w:tr>
      <w:tr w:rsidR="00D136A1" w:rsidRPr="00821F4D" w:rsidTr="009D6A99">
        <w:trPr>
          <w:trHeight w:val="306"/>
        </w:trPr>
        <w:tc>
          <w:tcPr>
            <w:tcW w:w="596" w:type="pct"/>
            <w:vMerge w:val="restar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Calculated height at baseline, cm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20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41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20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148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172</w:t>
            </w:r>
          </w:p>
        </w:tc>
      </w:tr>
      <w:tr w:rsidR="00D136A1" w:rsidRPr="00821F4D" w:rsidTr="009D6A99">
        <w:tc>
          <w:tcPr>
            <w:tcW w:w="596" w:type="pct"/>
            <w:vMerge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141.67 (10.742)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137.74 (7.891)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140.76 (12.063)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139.76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(10.595)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139.21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(10.411)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138.94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138.97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140.65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138.25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138.20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126.7, 158.5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122.4, 155.2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124.0, 178.1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120.4, 178.1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120.4, 178.1</w:t>
            </w:r>
          </w:p>
        </w:tc>
      </w:tr>
      <w:tr w:rsidR="00D136A1" w:rsidRPr="00821F4D" w:rsidTr="009D6A99">
        <w:tc>
          <w:tcPr>
            <w:tcW w:w="596" w:type="pct"/>
            <w:vMerge w:val="restar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Calculated height at last visit, cm</w:t>
            </w: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42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20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148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172</w:t>
            </w:r>
          </w:p>
        </w:tc>
      </w:tr>
      <w:tr w:rsidR="00D136A1" w:rsidRPr="00821F4D" w:rsidTr="009D6A99">
        <w:tc>
          <w:tcPr>
            <w:tcW w:w="596" w:type="pct"/>
            <w:vMerge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147.28 (11.293)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142.07 (9.415)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150.91 (13.396)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149.83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(12.176)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148.87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(11.984)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143.36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141.81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150.70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148.85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147.70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131.2, 165.2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124.9, 162.1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131.0, 178.1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124.1, 184.4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124.1, 184.4</w:t>
            </w:r>
          </w:p>
        </w:tc>
      </w:tr>
      <w:tr w:rsidR="00D136A1" w:rsidRPr="00821F4D" w:rsidTr="009D6A99">
        <w:tc>
          <w:tcPr>
            <w:tcW w:w="707" w:type="pct"/>
            <w:gridSpan w:val="3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Weight at baseline, kg</w:t>
            </w:r>
          </w:p>
        </w:tc>
        <w:tc>
          <w:tcPr>
            <w:tcW w:w="572" w:type="pct"/>
            <w:gridSpan w:val="3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35.78 (6.510)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48.71 (12.620)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39.83 (11.159)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38.87 (14.783)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40.03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(12.602)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39.96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(12.348)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34.75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48.50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39.30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32.25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37.35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37.50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27.9, 46.0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25.6, 69.6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22.2, 67.2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23.5, 79.1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18.0, 79.5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18.0, 79.5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Weight at last visit, kg</w:t>
            </w: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48.43 (16.747)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54.65 (13.838)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46.40 (13.860)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46.81 (15.202)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49.07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(15.331)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48.59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(14.970)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44.15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53.15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48.75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43.30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46.60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46.00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29.3, 80.2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30.5, 88.7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22.2, 77.5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26.5, 79.1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26.0, 111.8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23.9, 111.8</w:t>
            </w:r>
          </w:p>
        </w:tc>
      </w:tr>
      <w:tr w:rsidR="00D136A1" w:rsidRPr="00821F4D" w:rsidTr="009D6A99">
        <w:tc>
          <w:tcPr>
            <w:tcW w:w="596" w:type="pct"/>
            <w:vMerge w:val="restar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Ambulatory status at baseline, n (%)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Not ambulatory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15 (75)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0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 (15)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49 (33)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52 (30%)</w:t>
            </w:r>
          </w:p>
        </w:tc>
      </w:tr>
      <w:tr w:rsidR="00D136A1" w:rsidRPr="00821F4D" w:rsidTr="009D6A99">
        <w:tc>
          <w:tcPr>
            <w:tcW w:w="596" w:type="pct"/>
            <w:vMerge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Ambulatory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 (100)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 (25)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42 (100)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17 (85)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99 (67)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120 (70)</w:t>
            </w:r>
          </w:p>
        </w:tc>
      </w:tr>
      <w:tr w:rsidR="00D136A1" w:rsidRPr="00821F4D" w:rsidTr="009D6A99">
        <w:tc>
          <w:tcPr>
            <w:tcW w:w="596" w:type="pct"/>
            <w:vMerge w:val="restar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Ambulatory status at last visit, n (%)</w:t>
            </w:r>
          </w:p>
        </w:tc>
        <w:tc>
          <w:tcPr>
            <w:tcW w:w="683" w:type="pct"/>
            <w:gridSpan w:val="5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Not ambulatory</w:t>
            </w:r>
          </w:p>
        </w:tc>
        <w:tc>
          <w:tcPr>
            <w:tcW w:w="924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2 (17)</w:t>
            </w:r>
          </w:p>
        </w:tc>
        <w:tc>
          <w:tcPr>
            <w:tcW w:w="654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19 (95)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 (12)</w:t>
            </w:r>
          </w:p>
        </w:tc>
        <w:tc>
          <w:tcPr>
            <w:tcW w:w="478" w:type="pct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9 (45)</w:t>
            </w:r>
          </w:p>
        </w:tc>
        <w:tc>
          <w:tcPr>
            <w:tcW w:w="512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86 (58)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98 (57)</w:t>
            </w:r>
          </w:p>
        </w:tc>
      </w:tr>
      <w:tr w:rsidR="00D136A1" w:rsidRPr="00821F4D" w:rsidTr="009D6A99">
        <w:tc>
          <w:tcPr>
            <w:tcW w:w="596" w:type="pct"/>
            <w:vMerge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Ambulatory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10 (83)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 (5)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37 (88)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11 (55)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62 (42)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74 (43)</w:t>
            </w:r>
          </w:p>
        </w:tc>
      </w:tr>
      <w:tr w:rsidR="00D136A1" w:rsidRPr="00821F4D" w:rsidTr="009D6A99">
        <w:tc>
          <w:tcPr>
            <w:tcW w:w="871" w:type="pct"/>
            <w:gridSpan w:val="4"/>
          </w:tcPr>
          <w:p w:rsidR="00D136A1" w:rsidRPr="00821F4D" w:rsidRDefault="00D136A1" w:rsidP="009D6A99">
            <w:pPr>
              <w:keepNext/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21F4D">
              <w:rPr>
                <w:rFonts w:ascii="Arial" w:eastAsiaTheme="minorHAnsi" w:hAnsi="Arial" w:cs="Arial"/>
                <w:sz w:val="22"/>
                <w:szCs w:val="22"/>
              </w:rPr>
              <w:t>FVC%p</w:t>
            </w:r>
            <w:proofErr w:type="spellEnd"/>
            <w:r w:rsidRPr="00821F4D">
              <w:rPr>
                <w:rFonts w:ascii="Arial" w:eastAsiaTheme="minorHAnsi" w:hAnsi="Arial" w:cs="Arial"/>
                <w:sz w:val="22"/>
                <w:szCs w:val="22"/>
              </w:rPr>
              <w:t xml:space="preserve"> at baseline</w:t>
            </w:r>
          </w:p>
        </w:tc>
        <w:tc>
          <w:tcPr>
            <w:tcW w:w="614" w:type="pct"/>
            <w:gridSpan w:val="3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718" w:type="pct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96.92 (14.042)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65.94 (16.601)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78.48 (15.691)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79.60 (13.300)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78.81</w:t>
            </w:r>
          </w:p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(19.497)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78.45</w:t>
            </w:r>
          </w:p>
          <w:p w:rsidR="00D136A1" w:rsidRPr="00821F4D" w:rsidRDefault="00D136A1" w:rsidP="009D6A99">
            <w:pPr>
              <w:keepNext/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(19.245)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92.00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72.25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80.31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81.00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79.00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78.00</w:t>
            </w:r>
          </w:p>
        </w:tc>
      </w:tr>
      <w:tr w:rsidR="00D136A1" w:rsidRPr="00821F4D" w:rsidTr="009D6A99"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84.0, 121.0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31.4, 89.7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52.6, 127.0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50.0, 106.0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14.0, 140.0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14.0, 140.0</w:t>
            </w:r>
          </w:p>
        </w:tc>
      </w:tr>
      <w:tr w:rsidR="00D136A1" w:rsidRPr="00821F4D" w:rsidTr="009D6A99"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  <w:proofErr w:type="spellStart"/>
            <w:r w:rsidRPr="00821F4D">
              <w:rPr>
                <w:rFonts w:ascii="Arial" w:eastAsiaTheme="minorHAnsi" w:hAnsi="Arial" w:cs="Arial"/>
                <w:sz w:val="22"/>
                <w:szCs w:val="22"/>
              </w:rPr>
              <w:t>FVC%p</w:t>
            </w:r>
            <w:proofErr w:type="spellEnd"/>
            <w:r w:rsidRPr="00821F4D">
              <w:rPr>
                <w:rFonts w:ascii="Arial" w:eastAsiaTheme="minorHAnsi" w:hAnsi="Arial" w:cs="Arial"/>
                <w:sz w:val="22"/>
                <w:szCs w:val="22"/>
              </w:rPr>
              <w:t xml:space="preserve"> at last visit</w:t>
            </w: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Mean (SD)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86.83 (17.513)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61.62 (18.079)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74.60 (12.636)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61.90 (21.829)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62.26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(22.184)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62.28</w:t>
            </w:r>
          </w:p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(21.143)</w:t>
            </w:r>
          </w:p>
        </w:tc>
      </w:tr>
      <w:tr w:rsidR="00D136A1" w:rsidRPr="00821F4D" w:rsidTr="009D6A99">
        <w:trPr>
          <w:trHeight w:val="225"/>
        </w:trPr>
        <w:tc>
          <w:tcPr>
            <w:tcW w:w="596" w:type="pct"/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Median</w:t>
            </w:r>
          </w:p>
        </w:tc>
        <w:tc>
          <w:tcPr>
            <w:tcW w:w="924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81.50</w:t>
            </w:r>
          </w:p>
        </w:tc>
        <w:tc>
          <w:tcPr>
            <w:tcW w:w="654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67.68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70.76</w:t>
            </w:r>
          </w:p>
        </w:tc>
        <w:tc>
          <w:tcPr>
            <w:tcW w:w="478" w:type="pct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64.50</w:t>
            </w:r>
          </w:p>
        </w:tc>
        <w:tc>
          <w:tcPr>
            <w:tcW w:w="512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63.00</w:t>
            </w:r>
          </w:p>
        </w:tc>
        <w:tc>
          <w:tcPr>
            <w:tcW w:w="675" w:type="pct"/>
            <w:gridSpan w:val="2"/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62.50</w:t>
            </w:r>
          </w:p>
        </w:tc>
      </w:tr>
      <w:tr w:rsidR="00D136A1" w:rsidRPr="00821F4D" w:rsidTr="009D6A99">
        <w:trPr>
          <w:trHeight w:val="405"/>
        </w:trPr>
        <w:tc>
          <w:tcPr>
            <w:tcW w:w="596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rPr>
                <w:rFonts w:ascii="Arial" w:eastAsiaTheme="minorHAnsi" w:hAnsi="Arial" w:cs="Arial"/>
                <w:sz w:val="22"/>
                <w:szCs w:val="22"/>
              </w:rPr>
            </w:pPr>
          </w:p>
        </w:tc>
        <w:tc>
          <w:tcPr>
            <w:tcW w:w="683" w:type="pct"/>
            <w:gridSpan w:val="5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Min, max</w:t>
            </w:r>
          </w:p>
        </w:tc>
        <w:tc>
          <w:tcPr>
            <w:tcW w:w="924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61.0, 112.0</w:t>
            </w:r>
          </w:p>
        </w:tc>
        <w:tc>
          <w:tcPr>
            <w:tcW w:w="654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31.2, 84.2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55.9, 102.9</w:t>
            </w:r>
          </w:p>
        </w:tc>
        <w:tc>
          <w:tcPr>
            <w:tcW w:w="478" w:type="pct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16.0, 104</w:t>
            </w:r>
          </w:p>
        </w:tc>
        <w:tc>
          <w:tcPr>
            <w:tcW w:w="512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12.0, 122.0</w:t>
            </w:r>
          </w:p>
        </w:tc>
        <w:tc>
          <w:tcPr>
            <w:tcW w:w="675" w:type="pct"/>
            <w:gridSpan w:val="2"/>
            <w:tcBorders>
              <w:bottom w:val="single" w:sz="4" w:space="0" w:color="auto"/>
            </w:tcBorders>
          </w:tcPr>
          <w:p w:rsidR="00D136A1" w:rsidRPr="00821F4D" w:rsidRDefault="00D136A1" w:rsidP="009D6A99">
            <w:pPr>
              <w:spacing w:line="480" w:lineRule="auto"/>
              <w:jc w:val="center"/>
              <w:rPr>
                <w:rFonts w:ascii="Arial" w:eastAsiaTheme="minorHAnsi" w:hAnsi="Arial" w:cs="Arial"/>
                <w:sz w:val="22"/>
                <w:szCs w:val="22"/>
              </w:rPr>
            </w:pPr>
            <w:r w:rsidRPr="00821F4D">
              <w:rPr>
                <w:rFonts w:ascii="Arial" w:eastAsiaTheme="minorHAnsi" w:hAnsi="Arial" w:cs="Arial"/>
                <w:sz w:val="22"/>
                <w:szCs w:val="22"/>
              </w:rPr>
              <w:t>12.0, 122.0</w:t>
            </w:r>
          </w:p>
        </w:tc>
      </w:tr>
    </w:tbl>
    <w:p w:rsidR="00D136A1" w:rsidRPr="00821F4D" w:rsidRDefault="00D136A1" w:rsidP="00D136A1">
      <w:pPr>
        <w:spacing w:after="0" w:line="480" w:lineRule="auto"/>
        <w:rPr>
          <w:rFonts w:ascii="Arial" w:hAnsi="Arial" w:cs="Arial"/>
        </w:rPr>
      </w:pPr>
      <w:r w:rsidRPr="00821F4D">
        <w:rPr>
          <w:rFonts w:ascii="Arial" w:eastAsia="Times New Roman" w:hAnsi="Arial" w:cs="Arial"/>
          <w:sz w:val="24"/>
          <w:szCs w:val="24"/>
          <w:lang w:val="en-GB"/>
        </w:rPr>
        <w:t xml:space="preserve"> </w:t>
      </w:r>
      <w:r w:rsidRPr="00821F4D">
        <w:rPr>
          <w:rFonts w:ascii="Arial" w:hAnsi="Arial" w:cs="Arial"/>
        </w:rPr>
        <w:t xml:space="preserve">CINRG DNHS, Cooperative International Neuromuscular Research Group Duchenne Natural History Study; DMD, Duchenne muscular dystrophy; </w:t>
      </w:r>
      <w:proofErr w:type="spellStart"/>
      <w:r w:rsidRPr="00821F4D">
        <w:rPr>
          <w:rFonts w:ascii="Arial" w:hAnsi="Arial" w:cs="Arial"/>
        </w:rPr>
        <w:t>FVC%p</w:t>
      </w:r>
      <w:proofErr w:type="spellEnd"/>
      <w:r w:rsidRPr="00821F4D">
        <w:rPr>
          <w:rFonts w:ascii="Arial" w:hAnsi="Arial" w:cs="Arial"/>
        </w:rPr>
        <w:t xml:space="preserve">, percent predicted forced vital capacity; max, maximum; min, minimum; SD, standard deviation. </w:t>
      </w:r>
    </w:p>
    <w:p w:rsidR="00D136A1" w:rsidRPr="00821F4D" w:rsidRDefault="00D136A1" w:rsidP="00D136A1">
      <w:pPr>
        <w:spacing w:after="0" w:line="480" w:lineRule="auto"/>
        <w:rPr>
          <w:rFonts w:ascii="Arial" w:hAnsi="Arial" w:cs="Arial"/>
        </w:rPr>
      </w:pP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bCs/>
          <w:sz w:val="24"/>
          <w:szCs w:val="24"/>
        </w:rPr>
        <w:sectPr w:rsidR="00D136A1" w:rsidRPr="00821F4D" w:rsidSect="00D13FFC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821F4D">
        <w:rPr>
          <w:rFonts w:ascii="Arial" w:eastAsia="Times New Roman" w:hAnsi="Arial" w:cs="Arial"/>
          <w:b/>
          <w:bCs/>
          <w:sz w:val="24"/>
          <w:szCs w:val="24"/>
        </w:rPr>
        <w:lastRenderedPageBreak/>
        <w:t xml:space="preserve">Table </w:t>
      </w:r>
      <w:r w:rsidRPr="00D74E62">
        <w:rPr>
          <w:rFonts w:ascii="Arial" w:eastAsia="Times New Roman" w:hAnsi="Arial" w:cs="Arial"/>
          <w:b/>
          <w:bCs/>
          <w:sz w:val="24"/>
          <w:szCs w:val="24"/>
          <w:highlight w:val="yellow"/>
        </w:rPr>
        <w:t>S2</w:t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821F4D">
        <w:rPr>
          <w:rFonts w:ascii="Arial" w:eastAsia="Times New Roman" w:hAnsi="Arial" w:cs="Arial"/>
          <w:bCs/>
          <w:sz w:val="24"/>
          <w:szCs w:val="24"/>
        </w:rPr>
        <w:t>FVC%p</w:t>
      </w:r>
      <w:proofErr w:type="spellEnd"/>
      <w:r w:rsidRPr="00821F4D">
        <w:rPr>
          <w:rFonts w:ascii="Arial" w:eastAsia="Times New Roman" w:hAnsi="Arial" w:cs="Arial"/>
          <w:bCs/>
          <w:sz w:val="24"/>
          <w:szCs w:val="24"/>
        </w:rPr>
        <w:t xml:space="preserve"> slope model </w:t>
      </w:r>
      <w:r w:rsidRPr="00821F4D">
        <w:rPr>
          <w:rFonts w:ascii="Arial" w:eastAsia="Times New Roman" w:hAnsi="Arial" w:cs="Arial"/>
          <w:sz w:val="24"/>
          <w:szCs w:val="24"/>
          <w:lang w:val="en-GB"/>
        </w:rPr>
        <w:t>sensitivity analysis: studies 201/202 versus the Exon 51 CINRG DNHS cohort, with baseline height as a covariate</w:t>
      </w:r>
    </w:p>
    <w:tbl>
      <w:tblPr>
        <w:tblW w:w="50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1"/>
        <w:gridCol w:w="2442"/>
        <w:gridCol w:w="2070"/>
      </w:tblGrid>
      <w:tr w:rsidR="00D136A1" w:rsidRPr="00821F4D" w:rsidTr="009D6A99">
        <w:trPr>
          <w:cantSplit/>
          <w:tblHeader/>
        </w:trPr>
        <w:tc>
          <w:tcPr>
            <w:tcW w:w="2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Number of Patients Aged 10 to &lt;18 Years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Studies 201/202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(N=11)*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Exon 51 CINRG DNHS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(N=20)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Number of observations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118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1.54 (0.757)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6.05 (0.409)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3.04,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0.05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6.86,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5.25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Difference in </w:t>
            </w: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4.51 (0.860)</w:t>
            </w:r>
          </w:p>
        </w:tc>
      </w:tr>
      <w:tr w:rsidR="00D136A1" w:rsidRPr="00821F4D" w:rsidTr="009D6A99">
        <w:trPr>
          <w:cantSplit/>
          <w:trHeight w:val="80"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2.81, 6.21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i/>
                <w:sz w:val="24"/>
                <w:szCs w:val="24"/>
              </w:rPr>
              <w:t>P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value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&lt; 0.001</w:t>
            </w:r>
          </w:p>
        </w:tc>
      </w:tr>
    </w:tbl>
    <w:p w:rsidR="00D136A1" w:rsidRPr="00821F4D" w:rsidRDefault="00D136A1" w:rsidP="00D136A1">
      <w:pPr>
        <w:tabs>
          <w:tab w:val="left" w:pos="0"/>
        </w:tabs>
        <w:spacing w:after="0" w:line="240" w:lineRule="auto"/>
        <w:outlineLvl w:val="0"/>
        <w:rPr>
          <w:rFonts w:ascii="Arial" w:eastAsia="Times New Roman" w:hAnsi="Arial" w:cs="Arial"/>
        </w:rPr>
      </w:pPr>
      <w:r w:rsidRPr="00821F4D">
        <w:rPr>
          <w:rFonts w:ascii="Arial" w:eastAsia="Times New Roman" w:hAnsi="Arial" w:cs="Arial"/>
        </w:rPr>
        <w:t xml:space="preserve">CI, confidence interval; CINRG </w:t>
      </w:r>
      <w:r w:rsidRPr="00821F4D">
        <w:rPr>
          <w:rFonts w:ascii="Arial" w:eastAsia="Times New Roman" w:hAnsi="Arial" w:cs="Arial"/>
          <w:bCs/>
        </w:rPr>
        <w:t>DNHS</w:t>
      </w:r>
      <w:r w:rsidRPr="00821F4D">
        <w:rPr>
          <w:rFonts w:ascii="Arial" w:eastAsia="Times New Roman" w:hAnsi="Arial" w:cs="Arial"/>
        </w:rPr>
        <w:t xml:space="preserve">, Cooperative International Neuromuscular Research Group Duchenne Natural History Study; </w:t>
      </w:r>
      <w:proofErr w:type="spellStart"/>
      <w:r w:rsidRPr="00821F4D">
        <w:rPr>
          <w:rFonts w:ascii="Arial" w:eastAsia="Times New Roman" w:hAnsi="Arial" w:cs="Arial"/>
        </w:rPr>
        <w:t>FVC%p</w:t>
      </w:r>
      <w:proofErr w:type="spellEnd"/>
      <w:r w:rsidRPr="00821F4D">
        <w:rPr>
          <w:rFonts w:ascii="Arial" w:eastAsia="Times New Roman" w:hAnsi="Arial" w:cs="Arial"/>
        </w:rPr>
        <w:t>, percent predicted forced vital capacity; SE, standard error.</w:t>
      </w:r>
    </w:p>
    <w:p w:rsidR="00D136A1" w:rsidRPr="00821F4D" w:rsidRDefault="00D136A1" w:rsidP="00D136A1">
      <w:pPr>
        <w:spacing w:after="0" w:line="240" w:lineRule="auto"/>
        <w:rPr>
          <w:rFonts w:ascii="Arial" w:eastAsia="Times New Roman" w:hAnsi="Arial" w:cs="Arial"/>
          <w:b/>
          <w:lang w:val="en-GB"/>
        </w:rPr>
      </w:pPr>
      <w:r w:rsidRPr="00821F4D">
        <w:rPr>
          <w:rFonts w:ascii="Arial" w:eastAsia="Times New Roman" w:hAnsi="Arial" w:cs="Arial"/>
          <w:b/>
          <w:lang w:val="en-GB"/>
        </w:rPr>
        <w:t>*</w:t>
      </w:r>
      <w:r w:rsidRPr="00821F4D">
        <w:rPr>
          <w:rFonts w:ascii="Arial" w:eastAsia="Times New Roman" w:hAnsi="Arial" w:cs="Arial"/>
          <w:lang w:val="en-GB"/>
        </w:rPr>
        <w:t>One of the 12 patients in the age range of 10 to &lt;18 years had a missing height value at the baseline visit. Therefore, this patient was excluded from the sensitivity analysis that included baseline height as a covariate.</w:t>
      </w:r>
    </w:p>
    <w:p w:rsidR="00D136A1" w:rsidRPr="00821F4D" w:rsidRDefault="00D136A1" w:rsidP="00D136A1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br w:type="page"/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Table </w:t>
      </w:r>
      <w:r w:rsidRPr="00D74E62">
        <w:rPr>
          <w:rFonts w:ascii="Arial" w:eastAsia="Times New Roman" w:hAnsi="Arial" w:cs="Arial"/>
          <w:b/>
          <w:sz w:val="24"/>
          <w:szCs w:val="24"/>
          <w:highlight w:val="yellow"/>
          <w:lang w:val="en-GB"/>
        </w:rPr>
        <w:t>S3</w:t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821F4D">
        <w:rPr>
          <w:rFonts w:ascii="Arial" w:eastAsia="Times New Roman" w:hAnsi="Arial" w:cs="Arial"/>
          <w:bCs/>
          <w:sz w:val="24"/>
          <w:szCs w:val="24"/>
        </w:rPr>
        <w:t>FVC%p</w:t>
      </w:r>
      <w:proofErr w:type="spellEnd"/>
      <w:r w:rsidRPr="00821F4D">
        <w:rPr>
          <w:rFonts w:ascii="Arial" w:eastAsia="Times New Roman" w:hAnsi="Arial" w:cs="Arial"/>
          <w:bCs/>
          <w:sz w:val="24"/>
          <w:szCs w:val="24"/>
        </w:rPr>
        <w:t xml:space="preserve"> slope model </w:t>
      </w:r>
      <w:r w:rsidRPr="00821F4D">
        <w:rPr>
          <w:rFonts w:ascii="Arial" w:eastAsia="Times New Roman" w:hAnsi="Arial" w:cs="Arial"/>
          <w:sz w:val="24"/>
          <w:szCs w:val="24"/>
          <w:lang w:val="en-GB"/>
        </w:rPr>
        <w:t>sensitivity analysis: studies 201/202 versus the Exon 51 CINRG DNHS cohort, with random slope for patients</w:t>
      </w:r>
    </w:p>
    <w:tbl>
      <w:tblPr>
        <w:tblW w:w="50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2081"/>
        <w:gridCol w:w="2081"/>
      </w:tblGrid>
      <w:tr w:rsidR="00D136A1" w:rsidRPr="00821F4D" w:rsidTr="009D6A99">
        <w:trPr>
          <w:cantSplit/>
          <w:trHeight w:val="818"/>
          <w:tblHeader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Number of Patients Aged 10 to &lt;18 Years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Studies 201/202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(N=12)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Exon 51 CINRG DNHS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(N=20)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Number of observations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132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2.17 (0.758)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5.62 (0.460)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3.72, -0.61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6.56,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4.67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Difference in </w:t>
            </w: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3.45 (0.886)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1.63, 5.27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i/>
                <w:sz w:val="24"/>
                <w:szCs w:val="24"/>
              </w:rPr>
              <w:t xml:space="preserve">P 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value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&lt; 0.001</w:t>
            </w:r>
          </w:p>
        </w:tc>
      </w:tr>
    </w:tbl>
    <w:p w:rsidR="00D136A1" w:rsidRPr="00821F4D" w:rsidRDefault="00D136A1" w:rsidP="00D136A1">
      <w:pPr>
        <w:pStyle w:val="C-BodyText"/>
        <w:spacing w:before="0" w:after="0" w:line="240" w:lineRule="auto"/>
        <w:rPr>
          <w:rFonts w:ascii="Arial" w:hAnsi="Arial" w:cs="Arial"/>
          <w:b/>
          <w:szCs w:val="24"/>
          <w:lang w:val="en-GB"/>
        </w:rPr>
      </w:pPr>
      <w:r w:rsidRPr="00821F4D">
        <w:rPr>
          <w:rFonts w:ascii="Arial" w:hAnsi="Arial" w:cs="Arial"/>
          <w:sz w:val="22"/>
          <w:szCs w:val="22"/>
        </w:rPr>
        <w:t xml:space="preserve">CI, confidence interval; CINRG DNHS, Cooperative International Neuromuscular Research Group Duchenne Natural History Study; </w:t>
      </w:r>
      <w:proofErr w:type="spellStart"/>
      <w:r w:rsidRPr="00821F4D">
        <w:rPr>
          <w:rFonts w:ascii="Arial" w:hAnsi="Arial" w:cs="Arial"/>
          <w:sz w:val="22"/>
          <w:szCs w:val="22"/>
        </w:rPr>
        <w:t>FVC%p</w:t>
      </w:r>
      <w:proofErr w:type="spellEnd"/>
      <w:r w:rsidRPr="00821F4D">
        <w:rPr>
          <w:rFonts w:ascii="Arial" w:hAnsi="Arial" w:cs="Arial"/>
          <w:sz w:val="22"/>
          <w:szCs w:val="22"/>
        </w:rPr>
        <w:t>, percent predicted forced vital capacity; SE, standard error.</w:t>
      </w:r>
      <w:r w:rsidRPr="00821F4D">
        <w:rPr>
          <w:rFonts w:ascii="Arial" w:hAnsi="Arial" w:cs="Arial"/>
          <w:b/>
          <w:szCs w:val="24"/>
          <w:lang w:val="en-GB"/>
        </w:rPr>
        <w:br w:type="page"/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Table </w:t>
      </w:r>
      <w:r w:rsidRPr="00D74E62">
        <w:rPr>
          <w:rFonts w:ascii="Arial" w:eastAsia="Times New Roman" w:hAnsi="Arial" w:cs="Arial"/>
          <w:b/>
          <w:sz w:val="24"/>
          <w:szCs w:val="24"/>
          <w:highlight w:val="yellow"/>
          <w:lang w:val="en-GB"/>
        </w:rPr>
        <w:t>S4</w:t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821F4D">
        <w:rPr>
          <w:rFonts w:ascii="Arial" w:eastAsia="Times New Roman" w:hAnsi="Arial" w:cs="Arial"/>
          <w:bCs/>
          <w:sz w:val="24"/>
          <w:szCs w:val="24"/>
        </w:rPr>
        <w:t>FVC%p</w:t>
      </w:r>
      <w:proofErr w:type="spellEnd"/>
      <w:r w:rsidRPr="00821F4D">
        <w:rPr>
          <w:rFonts w:ascii="Arial" w:eastAsia="Times New Roman" w:hAnsi="Arial" w:cs="Arial"/>
          <w:bCs/>
          <w:sz w:val="24"/>
          <w:szCs w:val="24"/>
        </w:rPr>
        <w:t xml:space="preserve"> slope model </w:t>
      </w:r>
      <w:r w:rsidRPr="00821F4D">
        <w:rPr>
          <w:rFonts w:ascii="Arial" w:eastAsia="Times New Roman" w:hAnsi="Arial" w:cs="Arial"/>
          <w:sz w:val="24"/>
          <w:szCs w:val="24"/>
          <w:lang w:val="en-GB"/>
        </w:rPr>
        <w:t>sensitivity analysis: study 204 versus the Exon 51 CINRG DNHS cohort, with baseline height as a covariate</w:t>
      </w:r>
    </w:p>
    <w:tbl>
      <w:tblPr>
        <w:tblW w:w="50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1"/>
        <w:gridCol w:w="2442"/>
        <w:gridCol w:w="2070"/>
      </w:tblGrid>
      <w:tr w:rsidR="00D136A1" w:rsidRPr="00821F4D" w:rsidTr="009D6A99">
        <w:trPr>
          <w:cantSplit/>
          <w:tblHeader/>
        </w:trPr>
        <w:tc>
          <w:tcPr>
            <w:tcW w:w="2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Number of Patients Aged 10 to &lt;18 Years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Study 204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(N=20)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 xml:space="preserve">Exon 51 CINRG DNHS 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(N=20)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Number of observations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3.99 (0.687)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6.09 (0.408)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5.34,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2.63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6.90,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5.29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Difference in </w:t>
            </w: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2.11 (0.791)</w:t>
            </w:r>
          </w:p>
        </w:tc>
      </w:tr>
      <w:tr w:rsidR="00D136A1" w:rsidRPr="00821F4D" w:rsidTr="009D6A99">
        <w:trPr>
          <w:cantSplit/>
          <w:trHeight w:val="80"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0.54, 3.67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i/>
                <w:sz w:val="24"/>
                <w:szCs w:val="24"/>
              </w:rPr>
              <w:t>P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value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0.009</w:t>
            </w:r>
          </w:p>
        </w:tc>
      </w:tr>
    </w:tbl>
    <w:p w:rsidR="00D136A1" w:rsidRPr="00821F4D" w:rsidRDefault="00D136A1" w:rsidP="00D136A1">
      <w:pPr>
        <w:pStyle w:val="C-BodyText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F4D">
        <w:rPr>
          <w:rFonts w:ascii="Arial" w:hAnsi="Arial" w:cs="Arial"/>
          <w:sz w:val="22"/>
          <w:szCs w:val="22"/>
        </w:rPr>
        <w:t xml:space="preserve">CI, confidence interval; CINRG DNHS, Cooperative International Neuromuscular Research Group Duchenne Natural History Study; </w:t>
      </w:r>
      <w:proofErr w:type="spellStart"/>
      <w:r w:rsidRPr="00821F4D">
        <w:rPr>
          <w:rFonts w:ascii="Arial" w:hAnsi="Arial" w:cs="Arial"/>
          <w:sz w:val="22"/>
          <w:szCs w:val="22"/>
        </w:rPr>
        <w:t>FVC%p</w:t>
      </w:r>
      <w:proofErr w:type="spellEnd"/>
      <w:r w:rsidRPr="00821F4D">
        <w:rPr>
          <w:rFonts w:ascii="Arial" w:hAnsi="Arial" w:cs="Arial"/>
          <w:sz w:val="22"/>
          <w:szCs w:val="22"/>
        </w:rPr>
        <w:t>, percent predicted forced vital capacity; SE, standard error.</w:t>
      </w:r>
    </w:p>
    <w:p w:rsidR="00D136A1" w:rsidRPr="00821F4D" w:rsidRDefault="00D136A1" w:rsidP="00D136A1">
      <w:pPr>
        <w:pStyle w:val="C-BodyText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F4D">
        <w:rPr>
          <w:rFonts w:ascii="Arial" w:hAnsi="Arial" w:cs="Arial"/>
          <w:sz w:val="22"/>
          <w:szCs w:val="22"/>
        </w:rPr>
        <w:br w:type="page"/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Table </w:t>
      </w:r>
      <w:r w:rsidRPr="00D74E62">
        <w:rPr>
          <w:rFonts w:ascii="Arial" w:eastAsia="Times New Roman" w:hAnsi="Arial" w:cs="Arial"/>
          <w:b/>
          <w:sz w:val="24"/>
          <w:szCs w:val="24"/>
          <w:highlight w:val="yellow"/>
          <w:lang w:val="en-GB"/>
        </w:rPr>
        <w:t>S5</w:t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821F4D">
        <w:rPr>
          <w:rFonts w:ascii="Arial" w:eastAsia="Times New Roman" w:hAnsi="Arial" w:cs="Arial"/>
          <w:bCs/>
          <w:sz w:val="24"/>
          <w:szCs w:val="24"/>
        </w:rPr>
        <w:t>FVC%p</w:t>
      </w:r>
      <w:proofErr w:type="spellEnd"/>
      <w:r w:rsidRPr="00821F4D">
        <w:rPr>
          <w:rFonts w:ascii="Arial" w:eastAsia="Times New Roman" w:hAnsi="Arial" w:cs="Arial"/>
          <w:bCs/>
          <w:sz w:val="24"/>
          <w:szCs w:val="24"/>
        </w:rPr>
        <w:t xml:space="preserve"> slope model </w:t>
      </w:r>
      <w:r w:rsidRPr="00821F4D">
        <w:rPr>
          <w:rFonts w:ascii="Arial" w:eastAsia="Times New Roman" w:hAnsi="Arial" w:cs="Arial"/>
          <w:sz w:val="24"/>
          <w:szCs w:val="24"/>
          <w:lang w:val="en-GB"/>
        </w:rPr>
        <w:t>sensitivity analysis: study 204 versus the Exon 51 CINRG DNHS cohort, with random slope for patients</w:t>
      </w:r>
    </w:p>
    <w:tbl>
      <w:tblPr>
        <w:tblW w:w="50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2081"/>
        <w:gridCol w:w="2081"/>
      </w:tblGrid>
      <w:tr w:rsidR="00D136A1" w:rsidRPr="00821F4D" w:rsidTr="009D6A99">
        <w:trPr>
          <w:cantSplit/>
          <w:trHeight w:val="818"/>
          <w:tblHeader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Number of Patients Aged 10 to &lt;18 Years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Study 204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(N=20)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Exon 51 CINRG DNHS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(N=20)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Number of observations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117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3.65 (0.716)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5.62 (0.460)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5.10,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2.19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6.55,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4.68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Difference in </w:t>
            </w: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1.97 (0.851)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0.24, 3.70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i/>
                <w:sz w:val="24"/>
                <w:szCs w:val="24"/>
              </w:rPr>
              <w:t>P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value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0.027</w:t>
            </w:r>
          </w:p>
        </w:tc>
      </w:tr>
    </w:tbl>
    <w:p w:rsidR="00D136A1" w:rsidRPr="00821F4D" w:rsidRDefault="00D136A1" w:rsidP="00D136A1">
      <w:pPr>
        <w:pStyle w:val="C-BodyText"/>
        <w:spacing w:before="0" w:after="0" w:line="240" w:lineRule="auto"/>
        <w:rPr>
          <w:rFonts w:ascii="Arial" w:hAnsi="Arial" w:cs="Arial"/>
          <w:b/>
          <w:szCs w:val="24"/>
          <w:lang w:val="en-GB"/>
        </w:rPr>
      </w:pPr>
      <w:r w:rsidRPr="00821F4D">
        <w:rPr>
          <w:rFonts w:ascii="Arial" w:hAnsi="Arial" w:cs="Arial"/>
          <w:sz w:val="22"/>
          <w:szCs w:val="22"/>
        </w:rPr>
        <w:t xml:space="preserve">CI, confidence interval; CINRG </w:t>
      </w:r>
      <w:r w:rsidRPr="00821F4D">
        <w:rPr>
          <w:rFonts w:ascii="Arial" w:hAnsi="Arial" w:cs="Arial"/>
          <w:bCs/>
          <w:sz w:val="22"/>
          <w:szCs w:val="22"/>
        </w:rPr>
        <w:t>DNHS</w:t>
      </w:r>
      <w:r w:rsidRPr="00821F4D">
        <w:rPr>
          <w:rFonts w:ascii="Arial" w:hAnsi="Arial" w:cs="Arial"/>
          <w:sz w:val="22"/>
          <w:szCs w:val="22"/>
        </w:rPr>
        <w:t xml:space="preserve">, Cooperative International Neuromuscular Research Group Duchenne Natural History Study; </w:t>
      </w:r>
      <w:proofErr w:type="spellStart"/>
      <w:r w:rsidRPr="00821F4D">
        <w:rPr>
          <w:rFonts w:ascii="Arial" w:hAnsi="Arial" w:cs="Arial"/>
          <w:sz w:val="22"/>
          <w:szCs w:val="22"/>
        </w:rPr>
        <w:t>FVC%p</w:t>
      </w:r>
      <w:proofErr w:type="spellEnd"/>
      <w:r w:rsidRPr="00821F4D">
        <w:rPr>
          <w:rFonts w:ascii="Arial" w:hAnsi="Arial" w:cs="Arial"/>
          <w:sz w:val="22"/>
          <w:szCs w:val="22"/>
        </w:rPr>
        <w:t>, percent predicted forced vital capacity; SE, standard error.</w:t>
      </w:r>
      <w:r w:rsidRPr="00821F4D">
        <w:rPr>
          <w:rFonts w:ascii="Arial" w:hAnsi="Arial" w:cs="Arial"/>
          <w:b/>
          <w:szCs w:val="24"/>
          <w:lang w:val="en-GB"/>
        </w:rPr>
        <w:br w:type="page"/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Table </w:t>
      </w:r>
      <w:r w:rsidRPr="00D74E62">
        <w:rPr>
          <w:rFonts w:ascii="Arial" w:eastAsia="Times New Roman" w:hAnsi="Arial" w:cs="Arial"/>
          <w:b/>
          <w:sz w:val="24"/>
          <w:szCs w:val="24"/>
          <w:highlight w:val="yellow"/>
          <w:lang w:val="en-GB"/>
        </w:rPr>
        <w:t>S6</w:t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821F4D">
        <w:rPr>
          <w:rFonts w:ascii="Arial" w:eastAsia="Times New Roman" w:hAnsi="Arial" w:cs="Arial"/>
          <w:bCs/>
          <w:sz w:val="24"/>
          <w:szCs w:val="24"/>
        </w:rPr>
        <w:t>FVC%p</w:t>
      </w:r>
      <w:proofErr w:type="spellEnd"/>
      <w:r w:rsidRPr="00821F4D">
        <w:rPr>
          <w:rFonts w:ascii="Arial" w:eastAsia="Times New Roman" w:hAnsi="Arial" w:cs="Arial"/>
          <w:bCs/>
          <w:sz w:val="24"/>
          <w:szCs w:val="24"/>
        </w:rPr>
        <w:t xml:space="preserve"> slope model </w:t>
      </w:r>
      <w:r w:rsidRPr="00821F4D">
        <w:rPr>
          <w:rFonts w:ascii="Arial" w:eastAsia="Times New Roman" w:hAnsi="Arial" w:cs="Arial"/>
          <w:sz w:val="24"/>
          <w:szCs w:val="24"/>
          <w:lang w:val="en-GB"/>
        </w:rPr>
        <w:t>sensitivity analysis: study 301 versus the Exon 51 CINRG DNHS cohort, with baseline height as a covariate</w:t>
      </w:r>
    </w:p>
    <w:tbl>
      <w:tblPr>
        <w:tblW w:w="50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01"/>
        <w:gridCol w:w="2442"/>
        <w:gridCol w:w="2070"/>
      </w:tblGrid>
      <w:tr w:rsidR="00D136A1" w:rsidRPr="00821F4D" w:rsidTr="009D6A99">
        <w:trPr>
          <w:cantSplit/>
          <w:tblHeader/>
        </w:trPr>
        <w:tc>
          <w:tcPr>
            <w:tcW w:w="252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Number of Patients Aged 10 to &lt;18 Years</w:t>
            </w:r>
          </w:p>
        </w:tc>
        <w:tc>
          <w:tcPr>
            <w:tcW w:w="1340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Study 301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(N=41)*</w:t>
            </w:r>
          </w:p>
        </w:tc>
        <w:tc>
          <w:tcPr>
            <w:tcW w:w="113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Exon 51 CINRG DNHS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(N=20)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Number of observations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175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3.71 (0.873)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6.00 (0.410)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5.43,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1.99</w:t>
            </w: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6.81,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5.19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Difference in </w:t>
            </w: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2.29 (0.956)</w:t>
            </w:r>
          </w:p>
        </w:tc>
      </w:tr>
      <w:tr w:rsidR="00D136A1" w:rsidRPr="00821F4D" w:rsidTr="009D6A99">
        <w:trPr>
          <w:cantSplit/>
          <w:trHeight w:val="80"/>
        </w:trPr>
        <w:tc>
          <w:tcPr>
            <w:tcW w:w="2524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340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0.40, 4.17</w:t>
            </w:r>
          </w:p>
        </w:tc>
      </w:tr>
      <w:tr w:rsidR="00D136A1" w:rsidRPr="00821F4D" w:rsidTr="009D6A99">
        <w:trPr>
          <w:cantSplit/>
        </w:trPr>
        <w:tc>
          <w:tcPr>
            <w:tcW w:w="2524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Nominal p-value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36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0.018</w:t>
            </w:r>
          </w:p>
        </w:tc>
      </w:tr>
    </w:tbl>
    <w:p w:rsidR="00D136A1" w:rsidRPr="00821F4D" w:rsidRDefault="00D136A1" w:rsidP="00D136A1">
      <w:pPr>
        <w:pStyle w:val="C-BodyText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F4D">
        <w:rPr>
          <w:rFonts w:ascii="Arial" w:hAnsi="Arial" w:cs="Arial"/>
          <w:sz w:val="22"/>
          <w:szCs w:val="22"/>
        </w:rPr>
        <w:t xml:space="preserve">CI, confidence interval; CINRG DNHS, Cooperative International Neuromuscular Research Group Duchenne Natural History Study; </w:t>
      </w:r>
      <w:proofErr w:type="spellStart"/>
      <w:r w:rsidRPr="00821F4D">
        <w:rPr>
          <w:rFonts w:ascii="Arial" w:hAnsi="Arial" w:cs="Arial"/>
          <w:sz w:val="22"/>
          <w:szCs w:val="22"/>
        </w:rPr>
        <w:t>FVC%p</w:t>
      </w:r>
      <w:proofErr w:type="spellEnd"/>
      <w:r w:rsidRPr="00821F4D">
        <w:rPr>
          <w:rFonts w:ascii="Arial" w:hAnsi="Arial" w:cs="Arial"/>
          <w:sz w:val="22"/>
          <w:szCs w:val="22"/>
        </w:rPr>
        <w:t>, percent predicted forced vital capacity; SE, standard error.</w:t>
      </w:r>
    </w:p>
    <w:p w:rsidR="00D136A1" w:rsidRPr="00821F4D" w:rsidRDefault="00D136A1" w:rsidP="00D136A1">
      <w:pPr>
        <w:pStyle w:val="C-BodyText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F4D">
        <w:rPr>
          <w:rFonts w:ascii="Arial" w:hAnsi="Arial" w:cs="Arial"/>
          <w:sz w:val="22"/>
          <w:szCs w:val="22"/>
        </w:rPr>
        <w:t>*One of the 42 patients in the age range of 10 to &lt;18 years had a missing height value at the baseline visit. Therefore, this patient was excluded from the sensitivity analysis that included baseline height as a covariate.</w:t>
      </w:r>
    </w:p>
    <w:p w:rsidR="00D136A1" w:rsidRPr="00821F4D" w:rsidRDefault="00D136A1" w:rsidP="00D136A1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</w:p>
    <w:p w:rsidR="00D136A1" w:rsidRPr="00821F4D" w:rsidRDefault="00D136A1" w:rsidP="00D136A1">
      <w:pPr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br w:type="page"/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b/>
          <w:sz w:val="24"/>
          <w:szCs w:val="24"/>
          <w:lang w:val="en-GB"/>
        </w:rPr>
      </w:pPr>
      <w:r w:rsidRPr="00821F4D">
        <w:rPr>
          <w:rFonts w:ascii="Arial" w:eastAsia="Times New Roman" w:hAnsi="Arial" w:cs="Arial"/>
          <w:b/>
          <w:sz w:val="24"/>
          <w:szCs w:val="24"/>
          <w:lang w:val="en-GB"/>
        </w:rPr>
        <w:lastRenderedPageBreak/>
        <w:t xml:space="preserve">Table </w:t>
      </w:r>
      <w:r w:rsidRPr="00D74E62">
        <w:rPr>
          <w:rFonts w:ascii="Arial" w:eastAsia="Times New Roman" w:hAnsi="Arial" w:cs="Arial"/>
          <w:b/>
          <w:sz w:val="24"/>
          <w:szCs w:val="24"/>
          <w:highlight w:val="yellow"/>
          <w:lang w:val="en-GB"/>
        </w:rPr>
        <w:t>S7</w:t>
      </w:r>
    </w:p>
    <w:p w:rsidR="00D136A1" w:rsidRPr="00821F4D" w:rsidRDefault="00D136A1" w:rsidP="00D136A1">
      <w:pPr>
        <w:spacing w:after="0" w:line="480" w:lineRule="auto"/>
        <w:rPr>
          <w:rFonts w:ascii="Arial" w:eastAsia="Times New Roman" w:hAnsi="Arial" w:cs="Arial"/>
          <w:sz w:val="24"/>
          <w:szCs w:val="24"/>
          <w:lang w:val="en-GB"/>
        </w:rPr>
      </w:pPr>
      <w:proofErr w:type="spellStart"/>
      <w:r w:rsidRPr="00821F4D">
        <w:rPr>
          <w:rFonts w:ascii="Arial" w:eastAsia="Times New Roman" w:hAnsi="Arial" w:cs="Arial"/>
          <w:bCs/>
          <w:sz w:val="24"/>
          <w:szCs w:val="24"/>
        </w:rPr>
        <w:t>FVC%p</w:t>
      </w:r>
      <w:proofErr w:type="spellEnd"/>
      <w:r w:rsidRPr="00821F4D">
        <w:rPr>
          <w:rFonts w:ascii="Arial" w:eastAsia="Times New Roman" w:hAnsi="Arial" w:cs="Arial"/>
          <w:bCs/>
          <w:sz w:val="24"/>
          <w:szCs w:val="24"/>
        </w:rPr>
        <w:t xml:space="preserve"> slope model </w:t>
      </w:r>
      <w:r w:rsidRPr="00821F4D">
        <w:rPr>
          <w:rFonts w:ascii="Arial" w:eastAsia="Times New Roman" w:hAnsi="Arial" w:cs="Arial"/>
          <w:sz w:val="24"/>
          <w:szCs w:val="24"/>
          <w:lang w:val="en-GB"/>
        </w:rPr>
        <w:t>sensitivity analysis: study 301 versus the Exon 51 CINRG DNHS cohort, with random slope for patients</w:t>
      </w:r>
    </w:p>
    <w:tbl>
      <w:tblPr>
        <w:tblW w:w="5048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51"/>
        <w:gridCol w:w="2081"/>
        <w:gridCol w:w="2081"/>
      </w:tblGrid>
      <w:tr w:rsidR="00D136A1" w:rsidRPr="00821F4D" w:rsidTr="009D6A99">
        <w:trPr>
          <w:cantSplit/>
          <w:trHeight w:val="818"/>
          <w:tblHeader/>
        </w:trPr>
        <w:tc>
          <w:tcPr>
            <w:tcW w:w="271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Number of Patients Aged 10 to &lt;18 Years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Study 301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(N=42)</w:t>
            </w:r>
          </w:p>
        </w:tc>
        <w:tc>
          <w:tcPr>
            <w:tcW w:w="114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t>Exon 51 CINRG</w:t>
            </w:r>
            <w:r w:rsidRPr="00821F4D">
              <w:rPr>
                <w:rFonts w:ascii="Arial" w:eastAsia="Times New Roman" w:hAnsi="Arial" w:cs="Arial"/>
                <w:b/>
                <w:sz w:val="24"/>
                <w:szCs w:val="24"/>
              </w:rPr>
              <w:br/>
              <w:t>(N=20)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Number of observations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184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88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3.79 (0.824)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5.62 (0.460)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5.44,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2.13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6.54, </w:t>
            </w: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4.69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Difference in </w:t>
            </w:r>
            <w:proofErr w:type="spellStart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>FVC%p</w:t>
            </w:r>
            <w:proofErr w:type="spellEnd"/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annual change (SE)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1.83 (0.994)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95% CI</w:t>
            </w: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hAnsi="Arial" w:cs="Arial"/>
              </w:rPr>
              <w:t>−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0.06, 3.72</w:t>
            </w:r>
          </w:p>
        </w:tc>
      </w:tr>
      <w:tr w:rsidR="00D136A1" w:rsidRPr="00821F4D" w:rsidTr="009D6A99">
        <w:trPr>
          <w:cantSplit/>
        </w:trPr>
        <w:tc>
          <w:tcPr>
            <w:tcW w:w="2716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i/>
                <w:sz w:val="24"/>
                <w:szCs w:val="24"/>
              </w:rPr>
              <w:t>P</w:t>
            </w:r>
            <w:r w:rsidRPr="00821F4D">
              <w:rPr>
                <w:rFonts w:ascii="Arial" w:eastAsia="Times New Roman" w:hAnsi="Arial" w:cs="Arial"/>
                <w:sz w:val="24"/>
                <w:szCs w:val="24"/>
              </w:rPr>
              <w:t xml:space="preserve"> value</w:t>
            </w: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142" w:type="pct"/>
            <w:tcBorders>
              <w:bottom w:val="single" w:sz="4" w:space="0" w:color="auto"/>
            </w:tcBorders>
            <w:shd w:val="clear" w:color="auto" w:fill="FFFFFF"/>
          </w:tcPr>
          <w:p w:rsidR="00D136A1" w:rsidRPr="00821F4D" w:rsidRDefault="00D136A1" w:rsidP="009D6A99">
            <w:pPr>
              <w:tabs>
                <w:tab w:val="left" w:pos="0"/>
              </w:tabs>
              <w:spacing w:after="0" w:line="480" w:lineRule="auto"/>
              <w:jc w:val="center"/>
              <w:outlineLvl w:val="0"/>
              <w:rPr>
                <w:rFonts w:ascii="Arial" w:eastAsia="Times New Roman" w:hAnsi="Arial" w:cs="Arial"/>
                <w:sz w:val="24"/>
                <w:szCs w:val="24"/>
              </w:rPr>
            </w:pPr>
            <w:r w:rsidRPr="00821F4D">
              <w:rPr>
                <w:rFonts w:ascii="Arial" w:eastAsia="Times New Roman" w:hAnsi="Arial" w:cs="Arial"/>
                <w:sz w:val="24"/>
                <w:szCs w:val="24"/>
              </w:rPr>
              <w:t>0.058</w:t>
            </w:r>
          </w:p>
        </w:tc>
      </w:tr>
    </w:tbl>
    <w:p w:rsidR="00D136A1" w:rsidRPr="00BA502A" w:rsidRDefault="00D136A1" w:rsidP="00D136A1">
      <w:pPr>
        <w:pStyle w:val="C-BodyText"/>
        <w:spacing w:before="0" w:after="0" w:line="240" w:lineRule="auto"/>
        <w:rPr>
          <w:rFonts w:ascii="Arial" w:hAnsi="Arial" w:cs="Arial"/>
          <w:sz w:val="22"/>
          <w:szCs w:val="22"/>
        </w:rPr>
      </w:pPr>
      <w:r w:rsidRPr="00821F4D">
        <w:rPr>
          <w:rFonts w:ascii="Arial" w:hAnsi="Arial" w:cs="Arial"/>
          <w:sz w:val="22"/>
          <w:szCs w:val="22"/>
        </w:rPr>
        <w:t xml:space="preserve">CI, confidence interval; CINRG </w:t>
      </w:r>
      <w:r w:rsidRPr="00821F4D">
        <w:rPr>
          <w:rFonts w:ascii="Arial" w:hAnsi="Arial" w:cs="Arial"/>
          <w:bCs/>
          <w:sz w:val="22"/>
          <w:szCs w:val="22"/>
        </w:rPr>
        <w:t>DNHS</w:t>
      </w:r>
      <w:r w:rsidRPr="00821F4D">
        <w:rPr>
          <w:rFonts w:ascii="Arial" w:hAnsi="Arial" w:cs="Arial"/>
          <w:sz w:val="22"/>
          <w:szCs w:val="22"/>
        </w:rPr>
        <w:t xml:space="preserve">, Cooperative International Neuromuscular Research Group Duchenne Natural History Study; </w:t>
      </w:r>
      <w:proofErr w:type="spellStart"/>
      <w:r w:rsidRPr="00821F4D">
        <w:rPr>
          <w:rFonts w:ascii="Arial" w:hAnsi="Arial" w:cs="Arial"/>
          <w:sz w:val="22"/>
          <w:szCs w:val="22"/>
        </w:rPr>
        <w:t>FVC%p</w:t>
      </w:r>
      <w:proofErr w:type="spellEnd"/>
      <w:r w:rsidRPr="00821F4D">
        <w:rPr>
          <w:rFonts w:ascii="Arial" w:hAnsi="Arial" w:cs="Arial"/>
          <w:sz w:val="22"/>
          <w:szCs w:val="22"/>
        </w:rPr>
        <w:t>, percent predicted forced vital capacity; SE, standard error.</w:t>
      </w:r>
    </w:p>
    <w:p w:rsidR="00D136A1" w:rsidRPr="0095627C" w:rsidRDefault="00D136A1" w:rsidP="00D136A1">
      <w:pPr>
        <w:pStyle w:val="C-BodyText"/>
        <w:spacing w:before="0" w:after="0" w:line="480" w:lineRule="auto"/>
        <w:rPr>
          <w:rFonts w:ascii="Arial" w:hAnsi="Arial" w:cs="Arial"/>
          <w:b/>
          <w:szCs w:val="24"/>
        </w:rPr>
      </w:pPr>
    </w:p>
    <w:p w:rsidR="00D136A1" w:rsidRDefault="00D136A1">
      <w:bookmarkStart w:id="0" w:name="_GoBack"/>
      <w:bookmarkEnd w:id="0"/>
    </w:p>
    <w:sectPr w:rsidR="00D136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6A1"/>
    <w:rsid w:val="004B74BD"/>
    <w:rsid w:val="0062279D"/>
    <w:rsid w:val="009B5E46"/>
    <w:rsid w:val="00D13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-Table">
    <w:name w:val="C-Table"/>
    <w:basedOn w:val="TableNormal"/>
    <w:rsid w:val="00D1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paragraph" w:customStyle="1" w:styleId="C-BodyText">
    <w:name w:val="C-Body Text"/>
    <w:link w:val="C-BodyTextChar"/>
    <w:rsid w:val="00D136A1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link w:val="C-BodyText"/>
    <w:rsid w:val="00D136A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C-Table">
    <w:name w:val="C-Table"/>
    <w:basedOn w:val="TableNormal"/>
    <w:rsid w:val="00D136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paragraph" w:customStyle="1" w:styleId="C-BodyText">
    <w:name w:val="C-Body Text"/>
    <w:link w:val="C-BodyTextChar"/>
    <w:rsid w:val="00D136A1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customStyle="1" w:styleId="C-BodyTextChar">
    <w:name w:val="C-Body Text Char"/>
    <w:link w:val="C-BodyText"/>
    <w:rsid w:val="00D136A1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1212</Words>
  <Characters>6911</Characters>
  <Application>Microsoft Office Word</Application>
  <DocSecurity>0</DocSecurity>
  <Lines>57</Lines>
  <Paragraphs>16</Paragraphs>
  <ScaleCrop>false</ScaleCrop>
  <Company>Microsoft</Company>
  <LinksUpToDate>false</LinksUpToDate>
  <CharactersWithSpaces>8107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sgml</dc:creator>
  <cp:lastModifiedBy>sgml</cp:lastModifiedBy>
  <cp:revision>1</cp:revision>
  <dcterms:created xsi:type="dcterms:W3CDTF">2019-03-06T07:28:00Z</dcterms:created>
  <dcterms:modified xsi:type="dcterms:W3CDTF">2019-03-06T07:28:00Z</dcterms:modified>
</cp:coreProperties>
</file>