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0E" w:rsidRPr="00015BBE" w:rsidRDefault="00D8420E" w:rsidP="00D8420E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  <w:bookmarkStart w:id="0" w:name="_GoBack"/>
      <w:bookmarkEnd w:id="0"/>
      <w:r w:rsidRPr="00015BBE"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>Supplementary Material</w:t>
      </w:r>
    </w:p>
    <w:p w:rsidR="00D8420E" w:rsidRDefault="00D8420E" w:rsidP="00D8420E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8420E" w:rsidRDefault="00D8420E" w:rsidP="00D8420E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246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Long-Term Effects of Traumatic Brain Injury in a Mouse Model of </w:t>
      </w:r>
      <w:proofErr w:type="gramStart"/>
      <w:r w:rsidRPr="002246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Alzheimer’s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</w:t>
      </w:r>
      <w:r w:rsidRPr="002246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isease</w:t>
      </w:r>
      <w:proofErr w:type="gramEnd"/>
      <w:r w:rsidRPr="002246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D8420E" w:rsidRDefault="00D8420E" w:rsidP="00D8420E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8420E" w:rsidRPr="00224685" w:rsidRDefault="00D8420E" w:rsidP="00D8420E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8420E" w:rsidRPr="00224685" w:rsidRDefault="00D8420E" w:rsidP="00D8420E">
      <w:pPr>
        <w:keepNext/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4685">
        <w:rPr>
          <w:noProof/>
          <w:color w:val="000000" w:themeColor="text1"/>
          <w:lang w:val="en-US"/>
        </w:rPr>
        <w:drawing>
          <wp:inline distT="0" distB="0" distL="0" distR="0" wp14:anchorId="6E8C9D0C" wp14:editId="2371CB60">
            <wp:extent cx="5760720" cy="3880366"/>
            <wp:effectExtent l="0" t="0" r="0" b="635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0E" w:rsidRDefault="00D8420E" w:rsidP="00D8420E">
      <w:pPr>
        <w:pStyle w:val="NormalWeb"/>
        <w:keepNext/>
        <w:tabs>
          <w:tab w:val="left" w:pos="360"/>
        </w:tabs>
        <w:spacing w:before="0" w:beforeAutospacing="0" w:after="0" w:afterAutospacing="0"/>
        <w:contextualSpacing/>
        <w:rPr>
          <w:b/>
          <w:i/>
          <w:color w:val="000000" w:themeColor="text1"/>
          <w:lang w:val="en-US"/>
        </w:rPr>
      </w:pPr>
    </w:p>
    <w:p w:rsidR="00D8420E" w:rsidRPr="00224685" w:rsidRDefault="00D8420E" w:rsidP="00D8420E">
      <w:pPr>
        <w:pStyle w:val="NormalWeb"/>
        <w:keepNext/>
        <w:tabs>
          <w:tab w:val="left" w:pos="360"/>
        </w:tabs>
        <w:spacing w:before="0" w:beforeAutospacing="0" w:after="0" w:afterAutospacing="0"/>
        <w:contextualSpacing/>
        <w:rPr>
          <w:color w:val="000000" w:themeColor="text1"/>
          <w:lang w:val="en-US"/>
        </w:rPr>
      </w:pPr>
      <w:proofErr w:type="gramStart"/>
      <w:r w:rsidRPr="00015BBE">
        <w:rPr>
          <w:b/>
          <w:color w:val="000000" w:themeColor="text1"/>
          <w:lang w:val="en-US"/>
        </w:rPr>
        <w:t>Supplementary Figure</w:t>
      </w:r>
      <w:r w:rsidRPr="00015BBE">
        <w:rPr>
          <w:rStyle w:val="Strong"/>
          <w:color w:val="000000" w:themeColor="text1"/>
          <w:lang w:val="en-US"/>
        </w:rPr>
        <w:t xml:space="preserve"> 1.</w:t>
      </w:r>
      <w:proofErr w:type="gramEnd"/>
      <w:r w:rsidRPr="00015BBE">
        <w:rPr>
          <w:rStyle w:val="Strong"/>
          <w:color w:val="000000" w:themeColor="text1"/>
          <w:lang w:val="en-US"/>
        </w:rPr>
        <w:t xml:space="preserve"> </w:t>
      </w:r>
      <w:proofErr w:type="gramStart"/>
      <w:r w:rsidRPr="00015BBE">
        <w:rPr>
          <w:b/>
          <w:color w:val="000000" w:themeColor="text1"/>
          <w:lang w:val="en-US"/>
        </w:rPr>
        <w:t>Schematic outline of the experimental setup.</w:t>
      </w:r>
      <w:proofErr w:type="gramEnd"/>
      <w:r w:rsidRPr="00224685">
        <w:rPr>
          <w:color w:val="000000" w:themeColor="text1"/>
          <w:lang w:val="en-US"/>
        </w:rPr>
        <w:t xml:space="preserve"> Long-term impact of two different TBI models, controlled cortical impact (CCI) and </w:t>
      </w:r>
      <w:r w:rsidRPr="00224685">
        <w:rPr>
          <w:color w:val="000000" w:themeColor="text1"/>
          <w:lang w:val="en-US" w:eastAsia="sv-SE"/>
        </w:rPr>
        <w:t>midline fluid percussion injury (</w:t>
      </w:r>
      <w:proofErr w:type="spellStart"/>
      <w:r w:rsidRPr="00224685">
        <w:rPr>
          <w:color w:val="000000" w:themeColor="text1"/>
          <w:lang w:val="en-US" w:eastAsia="sv-SE"/>
        </w:rPr>
        <w:t>mFPI</w:t>
      </w:r>
      <w:proofErr w:type="spellEnd"/>
      <w:r w:rsidRPr="00224685">
        <w:rPr>
          <w:color w:val="000000" w:themeColor="text1"/>
          <w:lang w:val="en-US" w:eastAsia="sv-SE"/>
        </w:rPr>
        <w:t>) was investigated in</w:t>
      </w:r>
      <w:r w:rsidRPr="00224685">
        <w:rPr>
          <w:color w:val="000000" w:themeColor="text1"/>
          <w:lang w:val="en-US"/>
        </w:rPr>
        <w:t xml:space="preserve"> </w:t>
      </w:r>
      <w:proofErr w:type="spellStart"/>
      <w:r w:rsidRPr="00224685">
        <w:rPr>
          <w:color w:val="000000" w:themeColor="text1"/>
          <w:lang w:val="en-US"/>
        </w:rPr>
        <w:t>tg-ArcSwe</w:t>
      </w:r>
      <w:proofErr w:type="spellEnd"/>
      <w:r w:rsidRPr="00224685">
        <w:rPr>
          <w:color w:val="000000" w:themeColor="text1"/>
          <w:lang w:val="en-US"/>
        </w:rPr>
        <w:t xml:space="preserve"> mice at 12 and 24 weeks following the injury (A). The regions of interest, including cortex and hippocampus, are indicated in the illustration of a coronal brain section (B).</w:t>
      </w:r>
    </w:p>
    <w:p w:rsidR="00D8420E" w:rsidRPr="00224685" w:rsidRDefault="00D8420E" w:rsidP="00D8420E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pl-PL"/>
        </w:rPr>
      </w:pPr>
      <w:r w:rsidRPr="00224685">
        <w:rPr>
          <w:b/>
          <w:i/>
          <w:color w:val="000000" w:themeColor="text1"/>
          <w:lang w:val="en-US"/>
        </w:rPr>
        <w:br w:type="page"/>
      </w:r>
    </w:p>
    <w:p w:rsidR="00D8420E" w:rsidRPr="00224685" w:rsidRDefault="00D8420E" w:rsidP="00D8420E">
      <w:pPr>
        <w:pStyle w:val="NormalWeb"/>
        <w:keepNext/>
        <w:widowControl w:val="0"/>
        <w:tabs>
          <w:tab w:val="left" w:pos="360"/>
        </w:tabs>
        <w:spacing w:before="0" w:beforeAutospacing="0" w:after="0" w:afterAutospacing="0"/>
        <w:contextualSpacing/>
        <w:rPr>
          <w:b/>
          <w:i/>
          <w:color w:val="000000" w:themeColor="text1"/>
          <w:lang w:val="en-US"/>
        </w:rPr>
      </w:pPr>
      <w:r w:rsidRPr="00224685">
        <w:rPr>
          <w:b/>
          <w:i/>
          <w:noProof/>
          <w:color w:val="000000" w:themeColor="text1"/>
          <w:lang w:val="en-US" w:eastAsia="en-US"/>
        </w:rPr>
        <w:lastRenderedPageBreak/>
        <w:drawing>
          <wp:inline distT="0" distB="0" distL="0" distR="0" wp14:anchorId="5F93D8A5" wp14:editId="45EB29AD">
            <wp:extent cx="5760720" cy="4287203"/>
            <wp:effectExtent l="0" t="0" r="0" b="0"/>
            <wp:docPr id="14" name="Bildobjekt 14" descr="C:\Users\annafors\Desktop\Backup okt 18\Marlena manus\Inskick Marlenas manus augusti\TBIAD-manus Figurer 180820\JPG\Supplementary 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afors\Desktop\Backup okt 18\Marlena manus\Inskick Marlenas manus augusti\TBIAD-manus Figurer 180820\JPG\Supplementary Figur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0E" w:rsidRPr="00224685" w:rsidRDefault="00D8420E" w:rsidP="00D8420E">
      <w:pPr>
        <w:pStyle w:val="NormalWeb"/>
        <w:keepNext/>
        <w:widowControl w:val="0"/>
        <w:tabs>
          <w:tab w:val="left" w:pos="360"/>
        </w:tabs>
        <w:spacing w:before="0" w:beforeAutospacing="0" w:after="0" w:afterAutospacing="0"/>
        <w:contextualSpacing/>
        <w:rPr>
          <w:color w:val="000000" w:themeColor="text1"/>
          <w:lang w:val="en-US"/>
        </w:rPr>
      </w:pPr>
      <w:proofErr w:type="gramStart"/>
      <w:r w:rsidRPr="00233215">
        <w:rPr>
          <w:b/>
          <w:color w:val="000000" w:themeColor="text1"/>
          <w:lang w:val="en-US"/>
        </w:rPr>
        <w:t>Supplementary Figure 2.</w:t>
      </w:r>
      <w:proofErr w:type="gramEnd"/>
      <w:r w:rsidRPr="00233215">
        <w:rPr>
          <w:color w:val="000000" w:themeColor="text1"/>
          <w:lang w:val="en-US"/>
        </w:rPr>
        <w:t xml:space="preserve"> </w:t>
      </w:r>
      <w:r w:rsidRPr="00233215">
        <w:rPr>
          <w:b/>
          <w:color w:val="000000" w:themeColor="text1"/>
          <w:lang w:val="en-US"/>
        </w:rPr>
        <w:t>No effect on speed after TBI in the Morris water maze test</w:t>
      </w:r>
      <w:r w:rsidRPr="00233215">
        <w:rPr>
          <w:color w:val="000000" w:themeColor="text1"/>
          <w:lang w:val="en-US"/>
        </w:rPr>
        <w:t xml:space="preserve">. </w:t>
      </w:r>
      <w:r w:rsidRPr="00224685">
        <w:rPr>
          <w:color w:val="000000" w:themeColor="text1"/>
          <w:lang w:val="en-US"/>
        </w:rPr>
        <w:t>The swim speed did not differ between the groups at week 12 (A) or week 24 (B). The swimming distance followed the latency to find the platform (shown in Fig</w:t>
      </w:r>
      <w:r>
        <w:rPr>
          <w:color w:val="000000" w:themeColor="text1"/>
          <w:lang w:val="en-US"/>
        </w:rPr>
        <w:t>.</w:t>
      </w:r>
      <w:r w:rsidRPr="00224685">
        <w:rPr>
          <w:color w:val="000000" w:themeColor="text1"/>
          <w:lang w:val="en-US"/>
        </w:rPr>
        <w:t xml:space="preserve"> 10). </w:t>
      </w:r>
    </w:p>
    <w:p w:rsidR="00D8420E" w:rsidRPr="00224685" w:rsidRDefault="00D8420E" w:rsidP="00D8420E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A777B" w:rsidRDefault="002A777B"/>
    <w:sectPr w:rsidR="002A77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4" w:rsidRDefault="00D8420E" w:rsidP="00224685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0E"/>
    <w:rsid w:val="002A777B"/>
    <w:rsid w:val="00D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0E"/>
    <w:pPr>
      <w:spacing w:after="160" w:line="259" w:lineRule="auto"/>
    </w:pPr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D842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8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0E"/>
    <w:rPr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0E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0E"/>
    <w:pPr>
      <w:spacing w:after="160" w:line="259" w:lineRule="auto"/>
    </w:pPr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D842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8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0E"/>
    <w:rPr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0E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2019-09-20T10:47:00Z</dcterms:created>
  <dcterms:modified xsi:type="dcterms:W3CDTF">2019-09-20T10:47:00Z</dcterms:modified>
</cp:coreProperties>
</file>