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pPr w:leftFromText="141" w:rightFromText="141" w:vertAnchor="page" w:horzAnchor="margin" w:tblpY="2001"/>
        <w:tblW w:w="0" w:type="auto"/>
        <w:tblLayout w:type="fixed"/>
        <w:tblLook w:val="0620" w:firstRow="1" w:lastRow="0" w:firstColumn="0" w:lastColumn="0" w:noHBand="1" w:noVBand="1"/>
      </w:tblPr>
      <w:tblGrid>
        <w:gridCol w:w="1080"/>
        <w:gridCol w:w="1080"/>
        <w:gridCol w:w="1059"/>
        <w:gridCol w:w="1043"/>
        <w:gridCol w:w="1043"/>
        <w:gridCol w:w="1044"/>
        <w:gridCol w:w="1043"/>
        <w:gridCol w:w="1043"/>
        <w:gridCol w:w="1044"/>
        <w:gridCol w:w="1043"/>
        <w:gridCol w:w="993"/>
        <w:gridCol w:w="50"/>
        <w:gridCol w:w="1044"/>
      </w:tblGrid>
      <w:tr w:rsidR="009631CC" w:rsidRPr="00CB3E75" w:rsidTr="00E54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319" w:type="dxa"/>
            <w:gridSpan w:val="7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Other Dementias</w:t>
            </w:r>
          </w:p>
        </w:tc>
        <w:tc>
          <w:tcPr>
            <w:tcW w:w="313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No dementia</w:t>
            </w:r>
          </w:p>
        </w:tc>
      </w:tr>
      <w:tr w:rsidR="009631CC" w:rsidRPr="00CB3E75" w:rsidTr="00E54988">
        <w:trPr>
          <w:trHeight w:val="219"/>
        </w:trPr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Uncertain diagnosis</w:t>
            </w:r>
          </w:p>
        </w:tc>
        <w:tc>
          <w:tcPr>
            <w:tcW w:w="105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D</w:t>
            </w: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FTLD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VaD</w:t>
            </w:r>
            <w:proofErr w:type="spellEnd"/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PSP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CBD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NPH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CJD</w:t>
            </w:r>
          </w:p>
        </w:tc>
        <w:tc>
          <w:tcPr>
            <w:tcW w:w="104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MCI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SMC</w:t>
            </w:r>
          </w:p>
        </w:tc>
        <w:tc>
          <w:tcPr>
            <w:tcW w:w="104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PSY</w:t>
            </w:r>
          </w:p>
        </w:tc>
      </w:tr>
      <w:tr w:rsidR="009631CC" w:rsidRPr="00CB3E75" w:rsidTr="00E54988">
        <w:trPr>
          <w:trHeight w:val="286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N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120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(10.5%)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65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(5.7%)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53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(4.7%)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31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(2.7%)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21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(1.9%)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14 (1.2%)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218 (19.2%)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30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(2.6%)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52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(4.6%)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230 (20.2%)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37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(3.3%)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Women**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51.7%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23.1%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47.2%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41.9%</w:t>
            </w:r>
          </w:p>
        </w:tc>
        <w:tc>
          <w:tcPr>
            <w:tcW w:w="1044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52.4%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35.7%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43.1%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30.0%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50.0%</w:t>
            </w:r>
          </w:p>
        </w:tc>
        <w:tc>
          <w:tcPr>
            <w:tcW w:w="99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53.5%</w:t>
            </w:r>
          </w:p>
        </w:tc>
        <w:tc>
          <w:tcPr>
            <w:tcW w:w="1094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43.2%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Age*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65.28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(13.54)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73.14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(7.86) 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>b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63.62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(8.78)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70.19 (8.9)</w:t>
            </w:r>
          </w:p>
        </w:tc>
        <w:tc>
          <w:tcPr>
            <w:tcW w:w="1044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69.82 (10.5)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67.73 (12.7)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76.79 (8.0)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66.99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(9.9)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70.19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(8.27)</w:t>
            </w:r>
          </w:p>
        </w:tc>
        <w:tc>
          <w:tcPr>
            <w:tcW w:w="99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61.79 (15.6) 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>c</w:t>
            </w:r>
          </w:p>
        </w:tc>
        <w:tc>
          <w:tcPr>
            <w:tcW w:w="109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59.65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(13.55)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b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Deaths **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8.33%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9.23%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11.32%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12.90%</w:t>
            </w:r>
          </w:p>
        </w:tc>
        <w:tc>
          <w:tcPr>
            <w:tcW w:w="1044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9.52%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14.28%</w:t>
            </w:r>
          </w:p>
        </w:tc>
        <w:tc>
          <w:tcPr>
            <w:tcW w:w="104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5.04%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90.00%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0.00%</w:t>
            </w:r>
          </w:p>
        </w:tc>
        <w:tc>
          <w:tcPr>
            <w:tcW w:w="993" w:type="dxa"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9.13%</w:t>
            </w:r>
          </w:p>
        </w:tc>
        <w:tc>
          <w:tcPr>
            <w:tcW w:w="1094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0.00%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Edu*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15.64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(4.7)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17.00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(3.6)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16.91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(4.1)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14.00 (6.3)</w:t>
            </w:r>
          </w:p>
        </w:tc>
        <w:tc>
          <w:tcPr>
            <w:tcW w:w="1044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15.33 (2.7)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14.67 (3.06)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15.40 (2.95)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14.00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(2.83)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17,52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(3.5)</w:t>
            </w:r>
          </w:p>
        </w:tc>
        <w:tc>
          <w:tcPr>
            <w:tcW w:w="99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16.60 (3.42)</w:t>
            </w:r>
          </w:p>
        </w:tc>
        <w:tc>
          <w:tcPr>
            <w:tcW w:w="109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17.20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(3.51)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A</w:t>
            </w:r>
            <w:r w:rsidRPr="00B8175A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β</w:t>
            </w:r>
            <w:r w:rsidRPr="00B8175A">
              <w:rPr>
                <w:rFonts w:eastAsia="Times New Roman"/>
                <w:b/>
                <w:color w:val="000000" w:themeColor="text1"/>
                <w:sz w:val="20"/>
                <w:szCs w:val="20"/>
                <w:vertAlign w:val="subscript"/>
                <w:lang w:eastAsia="it-IT"/>
              </w:rPr>
              <w:t>42</w:t>
            </w: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503.58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(272.5)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501.76 (280.02)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617.88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(291.22)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458.52 (253.22)</w:t>
            </w:r>
          </w:p>
        </w:tc>
        <w:tc>
          <w:tcPr>
            <w:tcW w:w="1044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642.90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(244.37)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542.67 (231.62)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424.23 (220.03)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502.21 (304.40)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561.94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(206.2)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99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493.26 (299.66)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9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580.92 (236.09)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tTau</w:t>
            </w:r>
            <w:proofErr w:type="spellEnd"/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460.17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(530.8)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235.98 (138.42)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295.53 (138.38)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906.48 (2014.30)</w:t>
            </w:r>
          </w:p>
        </w:tc>
        <w:tc>
          <w:tcPr>
            <w:tcW w:w="1044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294.63 (151.62)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269.77 (120.03)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425.33 (553.96)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4177.74 (4099.1)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358.39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(293.25)</w:t>
            </w:r>
          </w:p>
        </w:tc>
        <w:tc>
          <w:tcPr>
            <w:tcW w:w="99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458.44 (997.53)</w:t>
            </w:r>
          </w:p>
        </w:tc>
        <w:tc>
          <w:tcPr>
            <w:tcW w:w="109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207.56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(88.18)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pTau</w:t>
            </w:r>
            <w:proofErr w:type="spellEnd"/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54.08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(30.72)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43.10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(18.12)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44.63 (15.46)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43.70 (20.86)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4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49.45 (14.65)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44.67 (15.71)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42.11 (27.86)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49.72 (25.44)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57.96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(24.36)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99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41.39 (32.22)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94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40.25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(13.64)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</w:tr>
      <w:tr w:rsidR="009631CC" w:rsidRPr="00CB3E75" w:rsidTr="00E54988">
        <w:trPr>
          <w:trHeight w:val="230"/>
        </w:trPr>
        <w:tc>
          <w:tcPr>
            <w:tcW w:w="1080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b/>
                <w:color w:val="000000" w:themeColor="text1"/>
                <w:sz w:val="20"/>
                <w:szCs w:val="20"/>
                <w:lang w:eastAsia="it-IT"/>
              </w:rPr>
              <w:t>ATI*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0.91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(0.65)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1.01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(.053)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1.10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(0.53)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0.74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(.056)</w:t>
            </w:r>
          </w:p>
        </w:tc>
        <w:tc>
          <w:tcPr>
            <w:tcW w:w="1044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1.19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(0.56)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1.08 (0.58)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0.82 (0.55)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0.33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(0.71)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1.02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(0.52)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993" w:type="dxa"/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0.98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(0.68)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  <w:tc>
          <w:tcPr>
            <w:tcW w:w="1094" w:type="dxa"/>
            <w:gridSpan w:val="2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1.24 </w:t>
            </w:r>
          </w:p>
          <w:p w:rsidR="009631CC" w:rsidRPr="00CB3E75" w:rsidRDefault="009631CC" w:rsidP="00E54988">
            <w:pPr>
              <w:tabs>
                <w:tab w:val="left" w:pos="360"/>
              </w:tabs>
              <w:ind w:right="-31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CB3E75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(0.53)</w:t>
            </w:r>
            <w:r w:rsidRPr="00CB3E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 xml:space="preserve"> c</w:t>
            </w:r>
          </w:p>
        </w:tc>
      </w:tr>
    </w:tbl>
    <w:p w:rsidR="009631CC" w:rsidRPr="00317043" w:rsidRDefault="009631CC" w:rsidP="009631CC">
      <w:pPr>
        <w:tabs>
          <w:tab w:val="left" w:pos="360"/>
        </w:tabs>
        <w:ind w:right="-31"/>
        <w:rPr>
          <w:b/>
        </w:rPr>
      </w:pPr>
      <w:r>
        <w:rPr>
          <w:b/>
        </w:rPr>
        <w:t>Supplementary T</w:t>
      </w:r>
      <w:r w:rsidRPr="00317043">
        <w:rPr>
          <w:b/>
        </w:rPr>
        <w:t>able 1</w:t>
      </w:r>
    </w:p>
    <w:p w:rsidR="009631CC" w:rsidRPr="00317043" w:rsidRDefault="009631CC" w:rsidP="009631CC">
      <w:pPr>
        <w:tabs>
          <w:tab w:val="left" w:pos="360"/>
        </w:tabs>
        <w:ind w:right="-31"/>
      </w:pPr>
    </w:p>
    <w:p w:rsidR="009631CC" w:rsidRPr="00317043" w:rsidRDefault="009631CC" w:rsidP="009631CC">
      <w:pPr>
        <w:tabs>
          <w:tab w:val="left" w:pos="360"/>
        </w:tabs>
        <w:ind w:right="-31"/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  <w:r w:rsidRPr="00317043">
        <w:rPr>
          <w:rFonts w:eastAsia="Times New Roman"/>
          <w:b/>
          <w:color w:val="000000"/>
          <w:lang w:eastAsia="it-IT"/>
        </w:rPr>
        <w:t xml:space="preserve">* </w:t>
      </w: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rFonts w:eastAsia="Times New Roman"/>
          <w:b/>
          <w:color w:val="000000"/>
          <w:lang w:eastAsia="it-IT"/>
        </w:rPr>
      </w:pPr>
    </w:p>
    <w:p w:rsidR="009631CC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</w:pPr>
      <w:r w:rsidRPr="00B8175A">
        <w:rPr>
          <w:rFonts w:eastAsia="Times New Roman"/>
          <w:color w:val="000000"/>
          <w:lang w:eastAsia="it-IT"/>
        </w:rPr>
        <w:t>Percentages refer to the total amount of patients (n=1</w:t>
      </w:r>
      <w:r>
        <w:rPr>
          <w:rFonts w:eastAsia="Times New Roman"/>
          <w:color w:val="000000"/>
          <w:lang w:eastAsia="it-IT"/>
        </w:rPr>
        <w:t>,</w:t>
      </w:r>
      <w:r w:rsidRPr="00B8175A">
        <w:rPr>
          <w:rFonts w:eastAsia="Times New Roman"/>
          <w:color w:val="000000"/>
          <w:lang w:eastAsia="it-IT"/>
        </w:rPr>
        <w:t>137) who underwent CSF biomarker measurements</w:t>
      </w:r>
      <w:r w:rsidRPr="00B8175A">
        <w:t>. DLB, dementia with Lewy</w:t>
      </w:r>
      <w:r w:rsidRPr="00317043">
        <w:t xml:space="preserve"> bod</w:t>
      </w:r>
      <w:r>
        <w:t xml:space="preserve">ies; FTLD, frontotemporal lobar dementia; </w:t>
      </w:r>
      <w:proofErr w:type="spellStart"/>
      <w:r>
        <w:t>VaD</w:t>
      </w:r>
      <w:proofErr w:type="spellEnd"/>
      <w:r>
        <w:t>, v</w:t>
      </w:r>
      <w:r w:rsidRPr="00317043">
        <w:t>ascular dementia</w:t>
      </w:r>
      <w:r>
        <w:t xml:space="preserve">; PSP, </w:t>
      </w:r>
      <w:r w:rsidRPr="00317043">
        <w:t xml:space="preserve">progressive </w:t>
      </w:r>
      <w:proofErr w:type="spellStart"/>
      <w:r w:rsidRPr="00317043">
        <w:t>supranuclear</w:t>
      </w:r>
      <w:proofErr w:type="spellEnd"/>
      <w:r w:rsidRPr="00317043">
        <w:t xml:space="preserve"> palsy</w:t>
      </w:r>
      <w:r>
        <w:t xml:space="preserve">; CBD, </w:t>
      </w:r>
      <w:proofErr w:type="spellStart"/>
      <w:r>
        <w:t>c</w:t>
      </w:r>
      <w:r w:rsidRPr="00317043">
        <w:t>orticobasal</w:t>
      </w:r>
      <w:proofErr w:type="spellEnd"/>
      <w:r w:rsidRPr="00317043">
        <w:t xml:space="preserve"> degeneration</w:t>
      </w:r>
      <w:r>
        <w:t>; NPH, n</w:t>
      </w:r>
      <w:r w:rsidRPr="00317043">
        <w:t>ormal pressure h</w:t>
      </w:r>
      <w:r>
        <w:t xml:space="preserve">ydrocephalus; CJD, </w:t>
      </w:r>
      <w:proofErr w:type="spellStart"/>
      <w:r w:rsidRPr="00317043">
        <w:t>Creutzfeldt</w:t>
      </w:r>
      <w:proofErr w:type="spellEnd"/>
      <w:r w:rsidRPr="00317043">
        <w:t>-Jacob disease</w:t>
      </w:r>
      <w:r>
        <w:t>; MCI, m</w:t>
      </w:r>
      <w:r w:rsidRPr="00317043">
        <w:t>ild cognitive impairment</w:t>
      </w:r>
      <w:r>
        <w:t>; SMC, s</w:t>
      </w:r>
      <w:r w:rsidRPr="00317043">
        <w:t>ubjective memory complaints</w:t>
      </w:r>
      <w:r>
        <w:t>; PSY, psychiatric disorders</w:t>
      </w:r>
      <w:r w:rsidRPr="00317043">
        <w:t xml:space="preserve">. </w:t>
      </w:r>
      <w:proofErr w:type="gramStart"/>
      <w:r w:rsidRPr="00317043">
        <w:t>Step-wise c</w:t>
      </w:r>
      <w:r>
        <w:t>omparison of variance between Alzheimer’s disease</w:t>
      </w:r>
      <w:r w:rsidRPr="00317043">
        <w:t xml:space="preserve"> and diagnostic groups.</w:t>
      </w:r>
      <w:proofErr w:type="gramEnd"/>
      <w:r w:rsidRPr="00317043">
        <w:t xml:space="preserve"> </w:t>
      </w: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</w:pPr>
      <w:proofErr w:type="spellStart"/>
      <w:proofErr w:type="gramStart"/>
      <w:r w:rsidRPr="00B8175A">
        <w:rPr>
          <w:vertAlign w:val="superscript"/>
        </w:rPr>
        <w:t>a</w:t>
      </w:r>
      <w:r w:rsidRPr="00317043">
        <w:t>p</w:t>
      </w:r>
      <w:proofErr w:type="spellEnd"/>
      <w:proofErr w:type="gramEnd"/>
      <w:r w:rsidRPr="00317043">
        <w:t xml:space="preserve"> value &lt;0.05. </w:t>
      </w:r>
      <w:proofErr w:type="spellStart"/>
      <w:proofErr w:type="gramStart"/>
      <w:r w:rsidRPr="00B8175A">
        <w:rPr>
          <w:vertAlign w:val="superscript"/>
        </w:rPr>
        <w:t>b</w:t>
      </w:r>
      <w:r w:rsidRPr="00317043">
        <w:t>p</w:t>
      </w:r>
      <w:proofErr w:type="spellEnd"/>
      <w:proofErr w:type="gramEnd"/>
      <w:r w:rsidRPr="00317043">
        <w:t xml:space="preserve"> value &lt;0.01. </w:t>
      </w:r>
      <w:proofErr w:type="spellStart"/>
      <w:proofErr w:type="gramStart"/>
      <w:r w:rsidRPr="00B8175A">
        <w:rPr>
          <w:vertAlign w:val="superscript"/>
        </w:rPr>
        <w:t>c</w:t>
      </w:r>
      <w:r w:rsidRPr="00317043">
        <w:t>p</w:t>
      </w:r>
      <w:proofErr w:type="spellEnd"/>
      <w:proofErr w:type="gramEnd"/>
      <w:r w:rsidRPr="00317043">
        <w:t xml:space="preserve"> value &lt; 0.0001. Tests are adjusted for all pairwise comparisons within a row of each innermost </w:t>
      </w:r>
      <w:proofErr w:type="spellStart"/>
      <w:r w:rsidRPr="00317043">
        <w:t>subtable</w:t>
      </w:r>
      <w:proofErr w:type="spellEnd"/>
      <w:r w:rsidRPr="00317043">
        <w:t xml:space="preserve"> using the Bonferroni correction. *</w:t>
      </w:r>
      <w:proofErr w:type="spellStart"/>
      <w:r w:rsidRPr="00317043">
        <w:t>Kruskall</w:t>
      </w:r>
      <w:proofErr w:type="spellEnd"/>
      <w:r w:rsidRPr="00317043">
        <w:t xml:space="preserve"> Wallis test was used for comparing means across continuous nonstandard distributed variables. **Chi-square test was used for comparing means across dichotomized variables</w:t>
      </w: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</w:pP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</w:pPr>
    </w:p>
    <w:p w:rsidR="009631CC" w:rsidRDefault="009631CC" w:rsidP="009631CC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b/>
        </w:rPr>
      </w:pPr>
      <w:r w:rsidRPr="00317043">
        <w:rPr>
          <w:b/>
        </w:rPr>
        <w:lastRenderedPageBreak/>
        <w:t>Supplementary Table 2</w:t>
      </w:r>
    </w:p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b/>
        </w:rPr>
      </w:pPr>
    </w:p>
    <w:tbl>
      <w:tblPr>
        <w:tblStyle w:val="PlainTable5"/>
        <w:tblW w:w="0" w:type="auto"/>
        <w:jc w:val="center"/>
        <w:tblLook w:val="06A0" w:firstRow="1" w:lastRow="0" w:firstColumn="1" w:lastColumn="0" w:noHBand="1" w:noVBand="1"/>
      </w:tblPr>
      <w:tblGrid>
        <w:gridCol w:w="2381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9631CC" w:rsidRPr="00317043" w:rsidTr="00E54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b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 CSF Biomarkers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  <w:t>MCI (n=52)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  <w:t>FTLD (n=53)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  <w:t>D</w:t>
            </w:r>
            <w:r w:rsidRPr="00317043"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  <w:t>LB (n=65)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</w:pPr>
            <w:proofErr w:type="spellStart"/>
            <w:r w:rsidRPr="00317043"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  <w:t>VaD</w:t>
            </w:r>
            <w:proofErr w:type="spellEnd"/>
            <w:r w:rsidRPr="00317043"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  <w:t xml:space="preserve"> (n=31)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i w:val="0"/>
                <w:color w:val="000000"/>
                <w:lang w:eastAsia="it-IT"/>
              </w:rPr>
              <w:t>CJD (n=30)</w:t>
            </w:r>
          </w:p>
        </w:tc>
      </w:tr>
      <w:tr w:rsidR="009631CC" w:rsidRPr="00317043" w:rsidTr="00E5498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b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AUC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Sens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Spec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AUC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Sens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Spec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AUC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Sens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Spec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AUC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Sens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Spec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AUC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Sens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bCs/>
                <w:color w:val="000000"/>
                <w:lang w:eastAsia="it-IT"/>
              </w:rPr>
              <w:t>Spec</w:t>
            </w:r>
          </w:p>
        </w:tc>
      </w:tr>
      <w:tr w:rsidR="009631CC" w:rsidRPr="00317043" w:rsidTr="00E5498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b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A</w:t>
            </w:r>
            <w:r w:rsidRPr="00B5675C">
              <w:rPr>
                <w:rFonts w:eastAsia="Times New Roman"/>
                <w:b/>
                <w:i w:val="0"/>
                <w:color w:val="000000"/>
                <w:lang w:eastAsia="it-IT"/>
              </w:rPr>
              <w:t>β</w:t>
            </w:r>
            <w:r w:rsidRPr="00B5675C">
              <w:rPr>
                <w:rFonts w:eastAsia="Times New Roman"/>
                <w:b/>
                <w:i w:val="0"/>
                <w:color w:val="000000"/>
                <w:vertAlign w:val="subscript"/>
                <w:lang w:eastAsia="it-IT"/>
              </w:rPr>
              <w:t>42</w:t>
            </w:r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 xml:space="preserve"> &gt; 500 </w:t>
            </w:r>
            <w:proofErr w:type="spellStart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pg</w:t>
            </w:r>
            <w:proofErr w:type="spellEnd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/ml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0.781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0.612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0.400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0.756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0.604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0.568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0.387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0.579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0.400</w:t>
            </w:r>
          </w:p>
        </w:tc>
      </w:tr>
      <w:tr w:rsidR="009631CC" w:rsidRPr="00317043" w:rsidTr="00E5498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b/>
                <w:i w:val="0"/>
                <w:color w:val="000000"/>
                <w:lang w:eastAsia="it-IT"/>
              </w:rPr>
            </w:pPr>
            <w:proofErr w:type="spellStart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tT</w:t>
            </w:r>
            <w:r>
              <w:rPr>
                <w:rFonts w:eastAsia="Times New Roman"/>
                <w:b/>
                <w:i w:val="0"/>
                <w:color w:val="000000"/>
                <w:lang w:eastAsia="it-IT"/>
              </w:rPr>
              <w:t>au</w:t>
            </w:r>
            <w:proofErr w:type="spellEnd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 xml:space="preserve"> &gt; 350 </w:t>
            </w:r>
            <w:proofErr w:type="spellStart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pg</w:t>
            </w:r>
            <w:proofErr w:type="spellEnd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/ml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0.751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0.577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0.885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0.817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0.643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0.613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&lt; 0.5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//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//</w:t>
            </w:r>
          </w:p>
        </w:tc>
      </w:tr>
      <w:tr w:rsidR="009631CC" w:rsidRPr="00317043" w:rsidTr="00E5498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b/>
                <w:i w:val="0"/>
                <w:color w:val="000000"/>
                <w:lang w:eastAsia="it-IT"/>
              </w:rPr>
            </w:pPr>
            <w:proofErr w:type="spellStart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pT</w:t>
            </w:r>
            <w:r>
              <w:rPr>
                <w:rFonts w:eastAsia="Times New Roman"/>
                <w:b/>
                <w:i w:val="0"/>
                <w:color w:val="000000"/>
                <w:lang w:eastAsia="it-IT"/>
              </w:rPr>
              <w:t>au</w:t>
            </w:r>
            <w:proofErr w:type="spellEnd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 xml:space="preserve"> &gt; 61 </w:t>
            </w:r>
            <w:proofErr w:type="spellStart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pg</w:t>
            </w:r>
            <w:proofErr w:type="spellEnd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/ml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0.718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0.558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0.868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0.859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0.834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0.812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0.828</w:t>
            </w:r>
          </w:p>
        </w:tc>
      </w:tr>
      <w:tr w:rsidR="009631CC" w:rsidRPr="00317043" w:rsidTr="00E5498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b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ATI &lt;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0.834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0.481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0.834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0.400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0.861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0.566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0.627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0.258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&lt; 0.5</w:t>
            </w:r>
          </w:p>
        </w:tc>
        <w:tc>
          <w:tcPr>
            <w:tcW w:w="0" w:type="auto"/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//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//</w:t>
            </w:r>
          </w:p>
        </w:tc>
      </w:tr>
      <w:tr w:rsidR="009631CC" w:rsidRPr="00317043" w:rsidTr="00E5498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rPr>
                <w:rFonts w:eastAsia="Times New Roman"/>
                <w:b/>
                <w:i w:val="0"/>
                <w:color w:val="000000"/>
                <w:lang w:eastAsia="it-IT"/>
              </w:rPr>
            </w:pPr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 xml:space="preserve">ATI &lt; 1 + </w:t>
            </w:r>
            <w:proofErr w:type="spellStart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pT</w:t>
            </w:r>
            <w:r>
              <w:rPr>
                <w:rFonts w:eastAsia="Times New Roman"/>
                <w:b/>
                <w:i w:val="0"/>
                <w:color w:val="000000"/>
                <w:lang w:eastAsia="it-IT"/>
              </w:rPr>
              <w:t>au</w:t>
            </w:r>
            <w:proofErr w:type="spellEnd"/>
            <w:r w:rsidRPr="00317043">
              <w:rPr>
                <w:rFonts w:eastAsia="Times New Roman"/>
                <w:b/>
                <w:i w:val="0"/>
                <w:color w:val="000000"/>
                <w:lang w:eastAsia="it-IT"/>
              </w:rPr>
              <w:t>&gt;61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0.788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0.907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0.838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0.793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1CC" w:rsidRPr="00317043" w:rsidRDefault="009631CC" w:rsidP="00E54988">
            <w:pPr>
              <w:tabs>
                <w:tab w:val="left" w:pos="360"/>
              </w:tabs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it-IT"/>
              </w:rPr>
            </w:pPr>
            <w:r w:rsidRPr="00317043">
              <w:rPr>
                <w:rFonts w:eastAsia="Times New Roman"/>
                <w:color w:val="000000"/>
                <w:lang w:eastAsia="it-IT"/>
              </w:rPr>
              <w:t>0.908</w:t>
            </w:r>
          </w:p>
        </w:tc>
      </w:tr>
    </w:tbl>
    <w:p w:rsidR="009631CC" w:rsidRPr="00317043" w:rsidRDefault="009631CC" w:rsidP="009631CC">
      <w:pPr>
        <w:widowControl w:val="0"/>
        <w:tabs>
          <w:tab w:val="left" w:pos="360"/>
        </w:tabs>
        <w:autoSpaceDE w:val="0"/>
        <w:autoSpaceDN w:val="0"/>
        <w:adjustRightInd w:val="0"/>
        <w:ind w:right="-31"/>
        <w:rPr>
          <w:i/>
        </w:rPr>
        <w:sectPr w:rsidR="009631CC" w:rsidRPr="00317043" w:rsidSect="008527DA">
          <w:pgSz w:w="15840" w:h="12240" w:orient="landscape"/>
          <w:pgMar w:top="1417" w:right="1134" w:bottom="1134" w:left="1134" w:header="720" w:footer="720" w:gutter="0"/>
          <w:cols w:space="720"/>
          <w:docGrid w:linePitch="360"/>
        </w:sectPr>
      </w:pPr>
      <w:r w:rsidRPr="00317043">
        <w:t xml:space="preserve">The table shows </w:t>
      </w:r>
      <w:r>
        <w:t>area under the curve (</w:t>
      </w:r>
      <w:r w:rsidRPr="00317043">
        <w:t>AUC</w:t>
      </w:r>
      <w:r>
        <w:t>)</w:t>
      </w:r>
      <w:r w:rsidRPr="00317043">
        <w:t>, sensitivity</w:t>
      </w:r>
      <w:r>
        <w:t xml:space="preserve"> (Sens),</w:t>
      </w:r>
      <w:r w:rsidRPr="00317043">
        <w:t xml:space="preserve"> and specificity </w:t>
      </w:r>
      <w:r>
        <w:t xml:space="preserve">(Spec) </w:t>
      </w:r>
      <w:r w:rsidRPr="00317043">
        <w:t>for each CSF biomarkers in differentiating A</w:t>
      </w:r>
      <w:r>
        <w:t>lzheimer’s disease</w:t>
      </w:r>
      <w:r w:rsidRPr="00317043">
        <w:t xml:space="preserve"> versus mild cognitive impairment (MCI), </w:t>
      </w:r>
      <w:r>
        <w:t>frontotemporal lobar dementia (</w:t>
      </w:r>
      <w:r w:rsidRPr="00317043">
        <w:t xml:space="preserve">FTLD), </w:t>
      </w:r>
      <w:r>
        <w:t xml:space="preserve">dementia with </w:t>
      </w:r>
      <w:r w:rsidRPr="00317043">
        <w:t>Lewy bodies (</w:t>
      </w:r>
      <w:r>
        <w:t>D</w:t>
      </w:r>
      <w:r w:rsidRPr="00317043">
        <w:t>LB), vascular dementia (</w:t>
      </w:r>
      <w:proofErr w:type="spellStart"/>
      <w:r w:rsidRPr="00317043">
        <w:t>VaD</w:t>
      </w:r>
      <w:proofErr w:type="spellEnd"/>
      <w:r w:rsidRPr="00317043">
        <w:t>)</w:t>
      </w:r>
      <w:r>
        <w:t>,</w:t>
      </w:r>
      <w:r w:rsidRPr="00317043">
        <w:t xml:space="preserve"> and </w:t>
      </w:r>
      <w:proofErr w:type="spellStart"/>
      <w:r w:rsidRPr="00317043">
        <w:t>Creutzfeldt</w:t>
      </w:r>
      <w:proofErr w:type="spellEnd"/>
      <w:r w:rsidRPr="00317043">
        <w:t xml:space="preserve">-Jacob (CJD). Progressive </w:t>
      </w:r>
      <w:proofErr w:type="spellStart"/>
      <w:r w:rsidRPr="00317043">
        <w:t>supranuclear</w:t>
      </w:r>
      <w:proofErr w:type="spellEnd"/>
      <w:r w:rsidRPr="00317043">
        <w:t xml:space="preserve"> palsy and </w:t>
      </w:r>
      <w:proofErr w:type="spellStart"/>
      <w:r>
        <w:t>c</w:t>
      </w:r>
      <w:r w:rsidRPr="00317043">
        <w:t>orticobasal</w:t>
      </w:r>
      <w:proofErr w:type="spellEnd"/>
      <w:r w:rsidRPr="00317043">
        <w:t xml:space="preserve"> degeneration were excluded because of their sample size. Normal pressure hydrocephalus was examined in the paper. </w:t>
      </w:r>
    </w:p>
    <w:p w:rsidR="00CA77AC" w:rsidRDefault="00CA77AC">
      <w:bookmarkStart w:id="0" w:name="_GoBack"/>
      <w:bookmarkEnd w:id="0"/>
    </w:p>
    <w:sectPr w:rsidR="00CA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CC"/>
    <w:rsid w:val="004E1253"/>
    <w:rsid w:val="009631CC"/>
    <w:rsid w:val="009B5E46"/>
    <w:rsid w:val="00C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9631C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9631C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9631C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9631C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2018-08-24T10:33:00Z</dcterms:created>
  <dcterms:modified xsi:type="dcterms:W3CDTF">2018-08-24T10:34:00Z</dcterms:modified>
</cp:coreProperties>
</file>