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5B" w:rsidRPr="0051735B" w:rsidRDefault="0051735B" w:rsidP="00A8225A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1735B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:rsidR="0051735B" w:rsidRDefault="0051735B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51735B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SUPPLEMENTARY METHODS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Review Protocol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Review question: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Do Mendelian randomization studies suggest causal associations between risk factors and dementia or dementia-related outcomes? 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Population: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Adults (≥18 years)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Exposure: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Any difference in the level of risk or protective factor indexed by a genetic instrument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Comparators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>: Any comparative measure of the risk factor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Outcomes: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Cross-sectional and prospective measures of global cognitive function, all-cause </w:t>
      </w:r>
      <w:r w:rsidR="007878BC"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dementia and its subtypes (e.g.,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>Alzheimer’s disease, vascular dementia, mixed dementia)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Search strategy:</w:t>
      </w:r>
    </w:p>
    <w:p w:rsidR="00922AD1" w:rsidRPr="0051735B" w:rsidRDefault="00922AD1" w:rsidP="0051735B">
      <w:pPr>
        <w:pStyle w:val="ListParagraph"/>
        <w:numPr>
          <w:ilvl w:val="0"/>
          <w:numId w:val="6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Searching the following databases: Medline,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Embase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PsycINFO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(via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OvidSP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), BIOSIS Citation Index (via Web of Science) and the Cochrane Central Register of Controlled Trials (Central).</w:t>
      </w:r>
    </w:p>
    <w:p w:rsidR="00922AD1" w:rsidRPr="0051735B" w:rsidRDefault="00922AD1" w:rsidP="0051735B">
      <w:pPr>
        <w:pStyle w:val="ListParagraph"/>
        <w:numPr>
          <w:ilvl w:val="0"/>
          <w:numId w:val="6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Backward and forward citation searching of included studies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Search terms relevant to MR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Mendelian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randomization,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Mendelian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randomisation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, instrumental variable 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Search terms relevant to cognition and dementia: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Alzheimer*, dement*,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cognit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*,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neurocogniti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*,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neuropsycholog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*, memory</w:t>
      </w: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Study selection criteria: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Inclusion criteria:</w:t>
      </w:r>
    </w:p>
    <w:p w:rsidR="00922AD1" w:rsidRPr="0051735B" w:rsidRDefault="00922AD1" w:rsidP="0051735B">
      <w:pPr>
        <w:pStyle w:val="ListParagraph"/>
        <w:numPr>
          <w:ilvl w:val="0"/>
          <w:numId w:val="7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Mendelian randomization studies on the association between risk factors and dementia or dementia-related outcomes</w:t>
      </w:r>
    </w:p>
    <w:p w:rsidR="00922AD1" w:rsidRPr="0051735B" w:rsidRDefault="00922AD1" w:rsidP="0051735B">
      <w:pPr>
        <w:pStyle w:val="ListParagraph"/>
        <w:numPr>
          <w:ilvl w:val="0"/>
          <w:numId w:val="7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lastRenderedPageBreak/>
        <w:t>No language restriction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Exclusion criteria: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Non-genetic studies and genetic studies other than Mendelian randomization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Studies with outcomes that are not directly dementia-related (e.g.</w:t>
      </w:r>
      <w:r w:rsidR="007878BC" w:rsidRPr="005173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neuroimaging or biomarkers)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Animal studies 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Case reports, narrative reviews, letters, editorials, opinions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Conference abstracts</w:t>
      </w:r>
    </w:p>
    <w:p w:rsidR="00922AD1" w:rsidRPr="0051735B" w:rsidRDefault="00922AD1" w:rsidP="0051735B">
      <w:pPr>
        <w:pStyle w:val="ListParagraph"/>
        <w:numPr>
          <w:ilvl w:val="0"/>
          <w:numId w:val="8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Duplicate publications using the same data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Study selection: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>Titles and abstracts will be independently screened by two reviewers (EK &amp; IL) using the inclusion/exclusion criteria. Full-texts of potentially relevant studies will be also reviewed independently by the same two reviewers. Any discrepancies will be resolved by discussion with involvement of a third reviewer (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EHa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or DJL) where necessary. 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Risk of bias assessment: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Risk of bias will be assessed independently by two reviewer</w:t>
      </w:r>
      <w:r w:rsidR="005173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(EK &amp;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EHa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) using the Quality of Genetic Association Studies (Q-Genie) tool [10]. Any discrepancies will be resolved by discussion with involvement of a third reviewer (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EHy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or DJL) where necessary.</w:t>
      </w: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22AD1" w:rsidRPr="0051735B" w:rsidRDefault="00922AD1" w:rsidP="00A822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Data extraction: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Key data including study details, exposures, instrumental variables, population, findings and sources of data will be extracted by one reviewer (EK) and checked by two reviewers (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EHa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&amp; IL). Any discrepancies will be resolved by discussion with involvement of a third reviewer (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EHy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or DJL) where necessary.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>Evidence synthesis methods: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We will synthesize narratively genetic evidence on causal associations between risk factors and dementia or dementia-related outcomes.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Fig</w:t>
      </w:r>
      <w:r w:rsidR="005173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Search strategy in Medline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1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alzheimer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*.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2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cognit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*.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3     memory.tw.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4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Neuropsycholog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*.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5     Dement*.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6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neurocognit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*.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7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Dementia/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8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Cognition Disorders/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9     *Memory Disorders/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10     1 or 2 or 3 or 4 or 5 or 6 or 7 or 8 or 9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11     (</w:t>
      </w:r>
      <w:proofErr w:type="spellStart"/>
      <w:proofErr w:type="gramStart"/>
      <w:r w:rsidRPr="0051735B">
        <w:rPr>
          <w:rFonts w:ascii="Times New Roman" w:hAnsi="Times New Roman" w:cs="Times New Roman"/>
          <w:sz w:val="24"/>
          <w:szCs w:val="24"/>
          <w:lang w:val="en-US"/>
        </w:rPr>
        <w:t>mendelian</w:t>
      </w:r>
      <w:proofErr w:type="spellEnd"/>
      <w:proofErr w:type="gram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adj1 random*).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735B">
        <w:rPr>
          <w:rFonts w:ascii="Times New Roman" w:hAnsi="Times New Roman" w:cs="Times New Roman"/>
          <w:sz w:val="24"/>
          <w:szCs w:val="24"/>
          <w:lang w:val="en-US"/>
        </w:rPr>
        <w:t>12     (instrumental adj1 variable*).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tw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13    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735B">
        <w:rPr>
          <w:rFonts w:ascii="Times New Roman" w:hAnsi="Times New Roman" w:cs="Times New Roman"/>
          <w:sz w:val="24"/>
          <w:szCs w:val="24"/>
          <w:lang w:val="en-US"/>
        </w:rPr>
        <w:t>Mendelian</w:t>
      </w:r>
      <w:proofErr w:type="spellEnd"/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Randomization Analysis/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14     11 or 12 or 13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15     10 and 14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Fig</w:t>
      </w:r>
      <w:r w:rsidR="005173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Flowchart of search results and study retrieval </w: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C7DAB4" wp14:editId="0F1E23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181600" cy="481965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4819650"/>
                          <a:chOff x="0" y="-38100"/>
                          <a:chExt cx="5181600" cy="481965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8100"/>
                            <a:ext cx="31908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Total i</w:t>
                              </w: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dentified from electronic database searches: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315</w:t>
                              </w:r>
                            </w:p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0150"/>
                            <a:ext cx="28765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Full-text articles reviewed for eligibility: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  <w:p w:rsidR="00A8225A" w:rsidRPr="00435A53" w:rsidRDefault="00A8225A" w:rsidP="00FF2D9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495300"/>
                            <a:ext cx="31432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spacing w:after="8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Duplicates: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141</w:t>
                              </w:r>
                            </w:p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Excluded after title and abstract screening: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1695450"/>
                            <a:ext cx="23717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spacing w:after="8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Excluded: </w:t>
                              </w:r>
                              <w:r w:rsidRPr="001E27D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Irrelevant outcome: 2</w:t>
                              </w:r>
                            </w:p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No Mendelian randomization: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52725"/>
                            <a:ext cx="14097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Eligible articles: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  <w:p w:rsidR="00A8225A" w:rsidRPr="00435A53" w:rsidRDefault="00A8225A" w:rsidP="00FF2D9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3324225"/>
                            <a:ext cx="314325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spacing w:after="8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Identified via backward citation searches and eligible: </w:t>
                              </w:r>
                              <w:r w:rsidRPr="001E27D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A8225A" w:rsidRPr="00A54CD0" w:rsidRDefault="00A8225A" w:rsidP="00FF2D97">
                              <w:pPr>
                                <w:spacing w:after="8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Identified via forward citation searches and eligible: </w:t>
                              </w:r>
                              <w:r w:rsidRPr="001E27D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  <w:p w:rsidR="00A8225A" w:rsidRDefault="00A8225A" w:rsidP="00FF2D9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29125"/>
                            <a:ext cx="22764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25A" w:rsidRPr="001E27DF" w:rsidRDefault="00A8225A" w:rsidP="00FF2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27D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Included in systematic review: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  <w:p w:rsidR="00A8225A" w:rsidRPr="00435A53" w:rsidRDefault="00A8225A" w:rsidP="00FF2D9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647700" y="352425"/>
                            <a:ext cx="6773" cy="8464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666750" y="1552575"/>
                            <a:ext cx="0" cy="12052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666750" y="3105150"/>
                            <a:ext cx="0" cy="13273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 flipH="1">
                            <a:off x="666750" y="3752850"/>
                            <a:ext cx="1368214" cy="67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676275" y="2143125"/>
                            <a:ext cx="136101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647700" y="771525"/>
                            <a:ext cx="138732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489EAB" id="Group 26" o:spid="_x0000_s1036" style="position:absolute;margin-left:0;margin-top:-.05pt;width:408pt;height:379.5pt;z-index:251659264;mso-position-horizontal-relative:margin;mso-position-vertical-relative:text;mso-height-relative:margin" coordorigin=",-381" coordsize="51816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">
                <v:shape id="Text Box 2" o:spid="_x0000_s1037" type="#_x0000_t202" style="position:absolute;top:-381;width:3190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">
                  <v:textbox>
                    <w:txbxContent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 i</w:t>
                        </w: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dentified from electronic database searches: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315</w:t>
                        </w:r>
                      </w:p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top:12001;width:287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">
                  <v:textbox>
                    <w:txbxContent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Full-text articles reviewed for eligibility: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22</w:t>
                        </w:r>
                      </w:p>
                      <w:p w:rsidR="00A8225A" w:rsidRPr="00435A53" w:rsidRDefault="00A8225A" w:rsidP="00FF2D9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9" type="#_x0000_t202" style="position:absolute;left:20383;top:4953;width:3143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">
                  <v:textbox>
                    <w:txbxContent>
                      <w:p w:rsidR="00A8225A" w:rsidRPr="001E27DF" w:rsidRDefault="00A8225A" w:rsidP="00FF2D97">
                        <w:pPr>
                          <w:spacing w:after="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Duplicates: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141</w:t>
                        </w:r>
                      </w:p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Excluded after title and abstract screening: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152</w:t>
                        </w:r>
                      </w:p>
                    </w:txbxContent>
                  </v:textbox>
                </v:shape>
                <v:shape id="Text Box 30" o:spid="_x0000_s1040" type="#_x0000_t202" style="position:absolute;left:20383;top:16954;width:23717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">
                  <v:textbox>
                    <w:txbxContent>
                      <w:p w:rsidR="00A8225A" w:rsidRPr="001E27DF" w:rsidRDefault="00A8225A" w:rsidP="00FF2D97">
                        <w:pPr>
                          <w:spacing w:after="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Excluded: </w:t>
                        </w:r>
                        <w:r w:rsidRPr="001E27D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Irrelevant outcome: 2</w:t>
                        </w:r>
                      </w:p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No Mendelian randomization: 3</w:t>
                        </w:r>
                      </w:p>
                    </w:txbxContent>
                  </v:textbox>
                </v:shape>
                <v:shape id="Text Box 2" o:spid="_x0000_s1041" type="#_x0000_t202" style="position:absolute;top:27527;width:1409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">
                  <v:textbox>
                    <w:txbxContent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Eligible articles: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17</w:t>
                        </w:r>
                      </w:p>
                      <w:p w:rsidR="00A8225A" w:rsidRPr="00435A53" w:rsidRDefault="00A8225A" w:rsidP="00FF2D9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20383;top:33242;width:31433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">
                  <v:textbox>
                    <w:txbxContent>
                      <w:p w:rsidR="00A8225A" w:rsidRPr="001E27DF" w:rsidRDefault="00A8225A" w:rsidP="00FF2D97">
                        <w:pPr>
                          <w:spacing w:after="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Identified via backward citation searches and eligible: </w:t>
                        </w:r>
                        <w:r w:rsidRPr="001E27D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  <w:p w:rsidR="00A8225A" w:rsidRPr="00A54CD0" w:rsidRDefault="00A8225A" w:rsidP="00FF2D97">
                        <w:pPr>
                          <w:spacing w:after="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Identified via forward citation searches and eligible: </w:t>
                        </w:r>
                        <w:r w:rsidRPr="001E27D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  <w:p w:rsidR="00A8225A" w:rsidRDefault="00A8225A" w:rsidP="00FF2D97"/>
                    </w:txbxContent>
                  </v:textbox>
                </v:shape>
                <v:shape id="Text Box 2" o:spid="_x0000_s1043" type="#_x0000_t202" style="position:absolute;top:44291;width:2276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">
                  <v:textbox>
                    <w:txbxContent>
                      <w:p w:rsidR="00A8225A" w:rsidRPr="001E27DF" w:rsidRDefault="00A8225A" w:rsidP="00FF2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27D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Included in systematic review: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18</w:t>
                        </w:r>
                      </w:p>
                      <w:p w:rsidR="00A8225A" w:rsidRPr="00435A53" w:rsidRDefault="00A8225A" w:rsidP="00FF2D9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Straight Arrow Connector 34" o:spid="_x0000_s1044" type="#_x0000_t32" style="position:absolute;left:6477;top:3524;width:67;height:84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" strokecolor="black [3213]" strokeweight=".5pt">
                  <v:stroke endarrow="block" joinstyle="miter"/>
                </v:shape>
                <v:shape id="Straight Arrow Connector 35" o:spid="_x0000_s1045" type="#_x0000_t32" style="position:absolute;left:6667;top:15525;width:0;height:120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" strokecolor="black [3213]" strokeweight=".5pt">
                  <v:stroke endarrow="block" joinstyle="miter"/>
                </v:shape>
                <v:shape id="Straight Arrow Connector 36" o:spid="_x0000_s1046" type="#_x0000_t32" style="position:absolute;left:6667;top:31051;width:0;height:13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" strokecolor="black [3213]" strokeweight=".5pt">
                  <v:stroke endarrow="block" joinstyle="miter"/>
                </v:shape>
                <v:shape id="Straight Arrow Connector 37" o:spid="_x0000_s1047" type="#_x0000_t32" style="position:absolute;left:6667;top:37528;width:13682;height: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" strokecolor="black [3213]" strokeweight=".5pt">
                  <v:stroke endarrow="block" joinstyle="miter"/>
                </v:shape>
                <v:shape id="Straight Arrow Connector 38" o:spid="_x0000_s1048" type="#_x0000_t32" style="position:absolute;left:6762;top:21431;width:136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" strokecolor="black [3213]" strokeweight=".5pt">
                  <v:stroke endarrow="block" joinstyle="miter"/>
                </v:shape>
                <v:shape id="Straight Arrow Connector 39" o:spid="_x0000_s1049" type="#_x0000_t32" style="position:absolute;left:6477;top:7715;width:138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" strokecolor="black [3213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CE8" w:rsidRPr="0051735B" w:rsidRDefault="00BB4CE8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CE8" w:rsidRPr="0051735B" w:rsidRDefault="00BB4CE8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CE8" w:rsidRPr="0051735B" w:rsidRDefault="00BB4CE8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CE8" w:rsidRPr="0051735B" w:rsidRDefault="00BB4CE8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4CE8" w:rsidRPr="0051735B" w:rsidRDefault="00BB4CE8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922AD1" w:rsidRPr="0051735B" w:rsidSect="00FF2D97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1. 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>Key characteristics of included studies</w:t>
      </w:r>
    </w:p>
    <w:tbl>
      <w:tblPr>
        <w:tblStyle w:val="TableGrid"/>
        <w:tblW w:w="141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6"/>
        <w:gridCol w:w="1444"/>
        <w:gridCol w:w="1700"/>
        <w:gridCol w:w="1843"/>
        <w:gridCol w:w="1947"/>
        <w:gridCol w:w="1343"/>
        <w:gridCol w:w="1276"/>
        <w:gridCol w:w="1354"/>
        <w:gridCol w:w="1243"/>
      </w:tblGrid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Instrumental variable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Exposure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Data source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Analytic sample size (</w:t>
            </w:r>
            <w:proofErr w:type="spellStart"/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cases</w:t>
            </w: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Mean </w:t>
            </w:r>
            <w:proofErr w:type="spellStart"/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Male, %</w:t>
            </w: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Ancestry</w:t>
            </w:r>
            <w:r w:rsidRPr="0051735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Almeida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[13]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ADH1B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(rs1229984)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Alcohol consumption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Cognitive impairment (</w:t>
            </w:r>
            <w:r w:rsidR="0051735B"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dichotomized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MMSE ≤23)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HIMS (Australia)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3,542 (502)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65-83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 Yeung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[14]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ALDH2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(rs671)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Alcohol consumption 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cognition (MMSE)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GBCS (China) 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2,284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≥50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 Yeung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[24]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SNPs (rs1008805, rs2175898)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17β-estradiol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cognition (MMSE)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GBCS (China)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3,066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≥50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51735B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Cruchaga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</w:t>
            </w:r>
            <w:r w:rsidR="00922AD1"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2012 [7]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APOE </w:t>
            </w:r>
            <w:r w:rsid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5"/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2/</w:t>
            </w:r>
            <w:r w:rsid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5"/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3/</w:t>
            </w:r>
            <w:r w:rsid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5"/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4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(rs7412, rs429358)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CSF APOE levels 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Dementia severity at baseline and 36 months; case-control status for AD at baseline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Knight-ADRC (USA), ADNI (Canada and 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 (146)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73.6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49.6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 [19]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MTHR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C677T (rs1801133)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Homocysteine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Meta-analysis of 34 case-control studies for AD 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9,397 (4,120)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73.0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Mixed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Kueider</w:t>
            </w:r>
            <w:proofErr w:type="spellEnd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[20]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SNPs (rs2282679, rs7041)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D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cognition (MMSE)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BLSA (USA)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848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52.6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49.8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Kwok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 [16]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 9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Coffee consumption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IGAP (international consortia)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54,162 (17,008)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Marioni</w:t>
            </w:r>
            <w:proofErr w:type="spellEnd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2011 [8]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FGB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(rs2227412)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Fibrinogen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cognitive factor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AAA, ET2DS, LBC1936 (Scotland) 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4,248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65.5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Mokry</w:t>
            </w:r>
            <w:proofErr w:type="spellEnd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[23]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SNPs (rs2282679, rs10741657, rs12785878, rs6013897)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 D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IGAP (international consortia)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54,162 (17,008)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Mukherjee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[17]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29-32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 (ADGC, GERAD1); dementia probability (HRS)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ADGC (USA), GERAD1 (international consortium), HRS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AD: 30,146 (13,256); dementia probability: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8,403 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AD: 76.0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dementia probability: 68.7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AD: 40.7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f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dementia probability: 41.0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Nguyen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[11]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SNPs (rs11584700, rs4851266, rs9320913)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Dementia probability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HRS (USA)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7,981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≥50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44.2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North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2015 [15]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CHRNA5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(rs16969968 or rs1051730 as a proxy)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Smoking 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fluid intelligence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HALCyon</w:t>
            </w:r>
            <w:proofErr w:type="spellEnd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cohorts (UK)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13,004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60.9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51735B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Østergaard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</w:t>
            </w:r>
            <w:r w:rsidR="00922AD1"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2015 [12]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1-73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Education, smoking, BMI, total cholesterol, HDL, LDL, SBP, triglycerides, T2D, fasting glucose, insulin resistance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 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IGAP (international consortia)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54,162 (17,008)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51735B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Proitsi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</w:t>
            </w:r>
            <w:r w:rsidR="00922AD1"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2AD1"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[18]</w:t>
            </w:r>
            <w:r w:rsidR="00922AD1"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9-70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cholesterol, HDL, LDL, triglycerides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MRC-WTCCC2 (UK), GERAD1 (international consortium), MRC Brain cohort (UK), IOP+ (UK), ADNI (Canada and 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10,578 (3,914)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69.6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43.6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Quinn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2015 [9]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F3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(closest gene; D-dimer rs12029080), </w:t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FGB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(fibrinogen rs1800789), </w:t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SERPINE1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(plasminogen activator inhibitor 1 rs2227631), </w:t>
            </w:r>
            <w:r w:rsidRPr="005173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VWF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(von Willebrand factor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rs1063857)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Bl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ood markers of thrombosis and h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emostasis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cognitive factor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SFHS (Scotland)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12,757-13,142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47.3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41.2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Walter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[21]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T2D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 (IGAP); dementia probability (HRS)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IGAP (international consortium), HRS (USA)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AD: 54,162 (17,008); dementia probability: 8,501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AD: 71.1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dementia probability: 68.6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AD: 41.4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dementia probability: 42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[25]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SNPs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Telomere length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 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IGAP (international consortium)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54,162 (17,008)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71.1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41.4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</w:tr>
      <w:tr w:rsidR="0051735B" w:rsidRPr="0051735B" w:rsidTr="0051735B">
        <w:tc>
          <w:tcPr>
            <w:tcW w:w="19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Zhao et al.</w:t>
            </w:r>
            <w:r w:rsid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[22] </w:t>
            </w:r>
          </w:p>
        </w:tc>
        <w:tc>
          <w:tcPr>
            <w:tcW w:w="144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SNPs (rs10046, rs1008805, rs1256031)</w:t>
            </w:r>
          </w:p>
        </w:tc>
        <w:tc>
          <w:tcPr>
            <w:tcW w:w="1700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Testosterone</w:t>
            </w:r>
          </w:p>
        </w:tc>
        <w:tc>
          <w:tcPr>
            <w:tcW w:w="18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cognition (MMSE)</w:t>
            </w:r>
          </w:p>
        </w:tc>
        <w:tc>
          <w:tcPr>
            <w:tcW w:w="1947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GBCS (China)</w:t>
            </w:r>
          </w:p>
        </w:tc>
        <w:tc>
          <w:tcPr>
            <w:tcW w:w="13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4,122</w:t>
            </w:r>
          </w:p>
        </w:tc>
        <w:tc>
          <w:tcPr>
            <w:tcW w:w="1276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≥50</w:t>
            </w:r>
          </w:p>
        </w:tc>
        <w:tc>
          <w:tcPr>
            <w:tcW w:w="1354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43" w:type="dxa"/>
          </w:tcPr>
          <w:p w:rsidR="00922AD1" w:rsidRPr="0051735B" w:rsidRDefault="00922AD1" w:rsidP="00517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Asian</w:t>
            </w:r>
          </w:p>
        </w:tc>
      </w:tr>
    </w:tbl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AAA, Aspirin for Asymptomatic Atherosclerosis trial; AD, Alzheimer’s disease; ADGC, Alzheimer’s Disease Genetics Consortium; ADH1B, alcohol dehydrogenase 1B; ALDH2, aldehyde dehydrogenase 2; ADNI, Alzheimer’s Disease Neuroimaging Initiative; APOE, apolipoprotein E; BLSA, Baltimore Longitudinal Study of Aging; BMI, body mass index; CSF, cerebrospinal fluid; ET2DS, Edinburg type 2 Diabetes Study; FGB, fibrinogen β gene; GBCS, Guangzhou Biobank Cohort Study; GERAD, Genetic and Environmental Risk for Alzheimer’s Disease consortium; GRS, genetic risk score; </w:t>
      </w:r>
      <w:proofErr w:type="spellStart"/>
      <w:r w:rsidRPr="0051735B">
        <w:rPr>
          <w:rFonts w:ascii="Times New Roman" w:hAnsi="Times New Roman" w:cs="Times New Roman"/>
          <w:sz w:val="20"/>
          <w:szCs w:val="20"/>
          <w:lang w:val="en-US"/>
        </w:rPr>
        <w:t>HALCyon</w:t>
      </w:r>
      <w:proofErr w:type="spellEnd"/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, Healthy Ageing across the Life Course; HDL, high-density lipoprotein cholesterol; HIMS, Health in Men Study; HRS, Health and Retirement Study; IGAP, International Genomics of Alzheimer’s Project; IOP+, Institute of Psychiatry Plus; Knight ADRC, Charles F. and Joanne Knight Alzheimer’s Disease Research Center; LBC1936, Lothian Birth Cohort 1936; LDL, low-density lipoprotein cholesterol; MMSE, Mini-Mental State Examination; MRC-WTCCC2, Medical Research Council </w:t>
      </w:r>
      <w:proofErr w:type="spellStart"/>
      <w:r w:rsidRPr="0051735B">
        <w:rPr>
          <w:rFonts w:ascii="Times New Roman" w:hAnsi="Times New Roman" w:cs="Times New Roman"/>
          <w:sz w:val="20"/>
          <w:szCs w:val="20"/>
          <w:lang w:val="en-US"/>
        </w:rPr>
        <w:t>Wellcome</w:t>
      </w:r>
      <w:proofErr w:type="spellEnd"/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Trust Case Control Consortium; NR, not reported; SBP, systolic blood pressure; SFHS, Scottish Family Health Study; SNP, single nucleotide polymorphism; T2D, type 2 diabetes; UK, United Kingdom; USA, United States of America;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binary outcomes only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the analytic sample size unless otherwise stated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the sample of 7,600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the sample of 1,207 with measured serum </w:t>
      </w:r>
      <w:r w:rsidRPr="0051735B">
        <w:rPr>
          <w:rFonts w:ascii="Times New Roman" w:hAnsi="Times New Roman" w:cs="Times New Roman"/>
          <w:iCs/>
          <w:sz w:val="20"/>
          <w:szCs w:val="20"/>
          <w:lang w:val="en-US"/>
        </w:rPr>
        <w:t>25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-hydroxyvitamin </w:t>
      </w:r>
      <w:r w:rsidRPr="0051735B">
        <w:rPr>
          <w:rFonts w:ascii="Times New Roman" w:hAnsi="Times New Roman" w:cs="Times New Roman"/>
          <w:iCs/>
          <w:sz w:val="20"/>
          <w:szCs w:val="20"/>
          <w:lang w:val="en-US"/>
        </w:rPr>
        <w:t>D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and cognitive function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Based on previous publication by Lambert and colleagues</w:t>
      </w:r>
      <w:r w:rsidR="005A0E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>[27]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f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ADGC sample only (N = 19,692)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Based on the sample of eligible HRS participants of N = 8,054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h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Total number of participants with age, sex, genotype, smoking status and general fluid intelligence factor, and restricted to those included also in the observational analysis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i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participants from five of the </w:t>
      </w:r>
      <w:proofErr w:type="spellStart"/>
      <w:r w:rsidRPr="0051735B">
        <w:rPr>
          <w:rFonts w:ascii="Times New Roman" w:hAnsi="Times New Roman" w:cs="Times New Roman"/>
          <w:sz w:val="20"/>
          <w:szCs w:val="20"/>
          <w:lang w:val="en-US"/>
        </w:rPr>
        <w:t>HALCyon</w:t>
      </w:r>
      <w:proofErr w:type="spellEnd"/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cohorts included in genetic analyses of the general fluid intelligence factor with age, sex smoking status, socioeconomic position and at least one outcome measure at baseline (N = 15,322)</w:t>
      </w:r>
    </w:p>
    <w:p w:rsidR="00922AD1" w:rsidRPr="0051735B" w:rsidRDefault="00922AD1" w:rsidP="0051735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3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j</w:t>
      </w:r>
      <w:r w:rsidRPr="0051735B">
        <w:rPr>
          <w:rFonts w:ascii="Times New Roman" w:hAnsi="Times New Roman" w:cs="Times New Roman"/>
          <w:sz w:val="20"/>
          <w:szCs w:val="20"/>
          <w:lang w:val="en-US"/>
        </w:rPr>
        <w:t xml:space="preserve"> Reported for the sample of 18,926</w:t>
      </w:r>
    </w:p>
    <w:p w:rsidR="00922AD1" w:rsidRPr="005A0E9D" w:rsidRDefault="00922AD1" w:rsidP="00A822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2. </w:t>
      </w:r>
      <w:r w:rsidRPr="005A0E9D">
        <w:rPr>
          <w:rFonts w:ascii="Times New Roman" w:hAnsi="Times New Roman" w:cs="Times New Roman"/>
          <w:sz w:val="24"/>
          <w:szCs w:val="24"/>
          <w:lang w:val="en-US"/>
        </w:rPr>
        <w:t>Risk of bias assessment of included studies</w:t>
      </w:r>
    </w:p>
    <w:tbl>
      <w:tblPr>
        <w:tblStyle w:val="TableGrid"/>
        <w:tblW w:w="15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73"/>
        <w:gridCol w:w="850"/>
        <w:gridCol w:w="851"/>
        <w:gridCol w:w="850"/>
        <w:gridCol w:w="850"/>
        <w:gridCol w:w="709"/>
        <w:gridCol w:w="709"/>
        <w:gridCol w:w="709"/>
        <w:gridCol w:w="850"/>
        <w:gridCol w:w="709"/>
        <w:gridCol w:w="992"/>
        <w:gridCol w:w="709"/>
        <w:gridCol w:w="709"/>
        <w:gridCol w:w="992"/>
        <w:gridCol w:w="709"/>
        <w:gridCol w:w="708"/>
        <w:gridCol w:w="709"/>
        <w:gridCol w:w="709"/>
        <w:gridCol w:w="709"/>
      </w:tblGrid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Quality </w:t>
            </w: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indicator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Almeida et al. [13]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Au Yeung et al. [14]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Au Yeung et al. [24]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Cruchaga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 [7]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Hu et al. [19]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Kueider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[20]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Kwok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[16]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Marioni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 [8]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Mokry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 [23]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Mukherjee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[17]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Nguyen et al.[11]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North et al.[15]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Østergaard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al.[12]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proofErr w:type="spellStart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Proitsi</w:t>
            </w:r>
            <w:proofErr w:type="spellEnd"/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[18]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Quinn et al. [9]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Walter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[21]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Zhan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[25]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Zhao et al.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51735B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[22]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Rationale for study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Selection and definition of outcome of interest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Selection and comparability of comparison groups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NA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Technical classification of the exposure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Non-technical classification of the exposure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Other sources of bias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Sample size and power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 priori planning of analyses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Statistical methods and control for confounding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Testing of assumptions and inferences for MR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Appropriateness of inferences drawn from results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Total </w:t>
            </w:r>
            <w:proofErr w:type="spellStart"/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score</w:t>
            </w:r>
            <w:r w:rsidRPr="0051735B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40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48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44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48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51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56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43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51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49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43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54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48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49</w:t>
            </w:r>
          </w:p>
        </w:tc>
      </w:tr>
      <w:tr w:rsidR="00922AD1" w:rsidRPr="0051735B" w:rsidTr="00FF2D97">
        <w:tc>
          <w:tcPr>
            <w:tcW w:w="1873" w:type="dxa"/>
          </w:tcPr>
          <w:p w:rsidR="00922AD1" w:rsidRPr="0051735B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Overall </w:t>
            </w:r>
            <w:proofErr w:type="spellStart"/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rating</w:t>
            </w:r>
            <w:r w:rsidRPr="0051735B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moderate</w:t>
            </w:r>
          </w:p>
        </w:tc>
        <w:tc>
          <w:tcPr>
            <w:tcW w:w="851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moderate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850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moderate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992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8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  <w:tc>
          <w:tcPr>
            <w:tcW w:w="709" w:type="dxa"/>
          </w:tcPr>
          <w:p w:rsidR="00922AD1" w:rsidRPr="0051735B" w:rsidRDefault="00922AD1" w:rsidP="005A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1735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good</w:t>
            </w:r>
          </w:p>
        </w:tc>
      </w:tr>
    </w:tbl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735B">
        <w:rPr>
          <w:rFonts w:ascii="Times New Roman" w:hAnsi="Times New Roman" w:cs="Times New Roman"/>
          <w:sz w:val="16"/>
          <w:szCs w:val="16"/>
          <w:lang w:val="en-US"/>
        </w:rPr>
        <w:t>NA, not applicab</w:t>
      </w:r>
      <w:r w:rsidR="005A0E9D">
        <w:rPr>
          <w:rFonts w:ascii="Times New Roman" w:hAnsi="Times New Roman" w:cs="Times New Roman"/>
          <w:sz w:val="16"/>
          <w:szCs w:val="16"/>
          <w:lang w:val="en-US"/>
        </w:rPr>
        <w:t>le; MR, Mendelian randomization.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735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Pr="0051735B">
        <w:rPr>
          <w:rFonts w:ascii="Times New Roman" w:hAnsi="Times New Roman" w:cs="Times New Roman"/>
          <w:sz w:val="16"/>
          <w:szCs w:val="16"/>
          <w:lang w:val="en-US"/>
        </w:rPr>
        <w:t xml:space="preserve"> Scores range from 1 (poor) to 7 (excellent)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735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r w:rsidRPr="0051735B">
        <w:rPr>
          <w:rFonts w:ascii="Times New Roman" w:hAnsi="Times New Roman" w:cs="Times New Roman"/>
          <w:sz w:val="16"/>
          <w:szCs w:val="16"/>
          <w:lang w:val="en-US"/>
        </w:rPr>
        <w:t xml:space="preserve"> Higher scores indicate higher overall quality 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735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c </w:t>
      </w:r>
      <w:r w:rsidRPr="0051735B">
        <w:rPr>
          <w:rFonts w:ascii="Times New Roman" w:hAnsi="Times New Roman" w:cs="Times New Roman"/>
          <w:sz w:val="16"/>
          <w:szCs w:val="16"/>
          <w:lang w:val="en-US"/>
        </w:rPr>
        <w:t>Overall rating of poor, moderate or good</w:t>
      </w:r>
    </w:p>
    <w:p w:rsidR="005A0E9D" w:rsidRDefault="005A0E9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22AD1" w:rsidRPr="0051735B" w:rsidRDefault="00922AD1" w:rsidP="00A8225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3. </w:t>
      </w:r>
      <w:r w:rsidRPr="005A0E9D">
        <w:rPr>
          <w:rFonts w:ascii="Times New Roman" w:hAnsi="Times New Roman" w:cs="Times New Roman"/>
          <w:sz w:val="24"/>
          <w:szCs w:val="24"/>
          <w:lang w:val="en-US"/>
        </w:rPr>
        <w:t>Additional results of included studies investigating cardiovascular factors and related biomarkers</w:t>
      </w:r>
    </w:p>
    <w:tbl>
      <w:tblPr>
        <w:tblStyle w:val="TableGrid"/>
        <w:tblW w:w="14281" w:type="dxa"/>
        <w:tblLook w:val="04A0" w:firstRow="1" w:lastRow="0" w:firstColumn="1" w:lastColumn="0" w:noHBand="0" w:noVBand="1"/>
      </w:tblPr>
      <w:tblGrid>
        <w:gridCol w:w="2245"/>
        <w:gridCol w:w="3289"/>
        <w:gridCol w:w="8747"/>
      </w:tblGrid>
      <w:tr w:rsidR="00922AD1" w:rsidRPr="0051735B" w:rsidTr="005A0E9D">
        <w:trPr>
          <w:trHeight w:val="635"/>
        </w:trPr>
        <w:tc>
          <w:tcPr>
            <w:tcW w:w="2245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Study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Exposure (analytic n / </w:t>
            </w:r>
            <w:proofErr w:type="spellStart"/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cases</w:t>
            </w: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89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8747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Results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MR estimate (95% CI)</w:t>
            </w:r>
          </w:p>
        </w:tc>
      </w:tr>
      <w:tr w:rsidR="00922AD1" w:rsidRPr="0051735B" w:rsidTr="005A0E9D">
        <w:trPr>
          <w:trHeight w:val="67"/>
        </w:trPr>
        <w:tc>
          <w:tcPr>
            <w:tcW w:w="2245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Proitsi</w:t>
            </w:r>
            <w:proofErr w:type="spellEnd"/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</w:t>
            </w:r>
            <w:r w:rsid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  <w:r w:rsid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[18]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cholesterol, HDL, LDL, triglycerides (10,578 / 3,914)</w:t>
            </w:r>
          </w:p>
        </w:tc>
        <w:tc>
          <w:tcPr>
            <w:tcW w:w="3289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Inverse-variance weighted combination of summary statistics. Results from each cohort were combined with inverse-variance fixed effects meta-analysis</w:t>
            </w:r>
          </w:p>
        </w:tc>
        <w:tc>
          <w:tcPr>
            <w:tcW w:w="8747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AD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total cholesterol GRS unit (full GRS) = 0.965 (0.81, 1.15), p = 0.694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HDL GRS unit</w:t>
            </w:r>
            <w:r w:rsidRPr="005A0E9D" w:rsidDel="00A96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GRS) = 1.003 (0.85, 1.19), p = 0.97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LDL GRS unit</w:t>
            </w:r>
            <w:r w:rsidRPr="005A0E9D" w:rsidDel="00A96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GRS) = 0.947 (0.79, 1.13), p = 0.551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triglycerides GRS unit</w:t>
            </w:r>
            <w:r w:rsidRPr="005A0E9D" w:rsidDel="00A96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GRS) = 1.104 (0.90, 1.36), p = 0.350</w:t>
            </w:r>
          </w:p>
        </w:tc>
      </w:tr>
      <w:tr w:rsidR="00922AD1" w:rsidRPr="0051735B" w:rsidTr="005A0E9D">
        <w:trPr>
          <w:trHeight w:val="1665"/>
        </w:trPr>
        <w:tc>
          <w:tcPr>
            <w:tcW w:w="2245" w:type="dxa"/>
          </w:tcPr>
          <w:p w:rsidR="00922AD1" w:rsidRPr="005A0E9D" w:rsidRDefault="005A0E9D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Cruchaga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</w:t>
            </w:r>
            <w:r w:rsidR="00922AD1"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2AD1"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[7] 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CSF APOE levels (570 / 146)</w:t>
            </w:r>
          </w:p>
        </w:tc>
        <w:tc>
          <w:tcPr>
            <w:tcW w:w="3289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GRS is weighted sum of CSF APOE raising alleles;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2SLS </w:t>
            </w:r>
            <w:proofErr w:type="spellStart"/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regression</w:t>
            </w:r>
            <w:r w:rsidRPr="005A0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7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Dementia severity at baseline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rs2075650 p = 0.006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GRS p = 0.028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Dementia severity at 36 months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rs2075650 p = 0.0013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GRS p = 0.0063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Case-control status at baseline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significant associations per CSF APOE levels</w:t>
            </w:r>
          </w:p>
        </w:tc>
      </w:tr>
    </w:tbl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t>AD, Alzheimer’s disease; APOE, apolipoprotein E; CI, confidence interval; CSF, cerebrospinal fluid; GRS, genetic risk score; HDL, high-density lipoprotein cholesterol; LDL, low-density lipoprotein cholesterol; MR, Mendelian randomization; OR, odds ratio; SNP, single nucleotide polymorphism</w:t>
      </w:r>
      <w:r w:rsidR="005A0E9D">
        <w:rPr>
          <w:rFonts w:ascii="Times New Roman" w:hAnsi="Times New Roman" w:cs="Times New Roman"/>
          <w:sz w:val="24"/>
          <w:szCs w:val="24"/>
          <w:lang w:val="en-US"/>
        </w:rPr>
        <w:t>; 2SLS, two-stage least squares.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Reported for binary outcomes only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51735B">
        <w:rPr>
          <w:rFonts w:ascii="Times New Roman" w:hAnsi="Times New Roman" w:cs="Times New Roman"/>
          <w:sz w:val="24"/>
          <w:szCs w:val="24"/>
          <w:lang w:val="en-US"/>
        </w:rPr>
        <w:t xml:space="preserve"> Adjustment strategy unclear</w:t>
      </w:r>
    </w:p>
    <w:p w:rsidR="00922AD1" w:rsidRPr="0051735B" w:rsidRDefault="00922AD1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22AD1" w:rsidRDefault="00922AD1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73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4. </w:t>
      </w:r>
      <w:r w:rsidRPr="005A0E9D">
        <w:rPr>
          <w:rFonts w:ascii="Times New Roman" w:hAnsi="Times New Roman" w:cs="Times New Roman"/>
          <w:sz w:val="24"/>
          <w:szCs w:val="24"/>
          <w:lang w:val="en-US"/>
        </w:rPr>
        <w:t>Additional results of the included study investigating telomere length</w:t>
      </w:r>
    </w:p>
    <w:p w:rsidR="005A0E9D" w:rsidRPr="005A0E9D" w:rsidRDefault="005A0E9D" w:rsidP="005A0E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1605" w:type="dxa"/>
        <w:tblLook w:val="04A0" w:firstRow="1" w:lastRow="0" w:firstColumn="1" w:lastColumn="0" w:noHBand="0" w:noVBand="1"/>
      </w:tblPr>
      <w:tblGrid>
        <w:gridCol w:w="1975"/>
        <w:gridCol w:w="1697"/>
        <w:gridCol w:w="7933"/>
      </w:tblGrid>
      <w:tr w:rsidR="005A0E9D" w:rsidRPr="0051735B" w:rsidTr="005A0E9D">
        <w:tc>
          <w:tcPr>
            <w:tcW w:w="1975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697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7933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Results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MR estimate (95% CI)</w:t>
            </w:r>
          </w:p>
        </w:tc>
      </w:tr>
      <w:tr w:rsidR="005A0E9D" w:rsidRPr="0051735B" w:rsidTr="005A0E9D">
        <w:tc>
          <w:tcPr>
            <w:tcW w:w="1975" w:type="dxa"/>
          </w:tcPr>
          <w:p w:rsidR="00922AD1" w:rsidRPr="005A0E9D" w:rsidRDefault="005A0E9D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 et al., 2015</w:t>
            </w:r>
            <w:r w:rsidR="00922AD1"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[25]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Telomere length (54,162 / 17,008)</w:t>
            </w:r>
          </w:p>
        </w:tc>
        <w:tc>
          <w:tcPr>
            <w:tcW w:w="1697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Ratio of coefficients </w:t>
            </w:r>
          </w:p>
        </w:tc>
        <w:tc>
          <w:tcPr>
            <w:tcW w:w="7933" w:type="dxa"/>
          </w:tcPr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AD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(rs10936599) = 1.16 (0.80, 1.68), p = 0.43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(rs2736100) = 1.93 (1.25, 3.00), p = 0.003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(rs7675998) = 1.13 (0.69, 1.87), p = 0.62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(rs9420907) = 2.13 (1.09, 4.15), p = 0.03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(rs8105767) = 1.06 (0.52, 2.16), p = 0.88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(rs755017) = 0.88 (0.40, 1.96), p = 0.75</w:t>
            </w:r>
          </w:p>
          <w:p w:rsidR="00922AD1" w:rsidRPr="005A0E9D" w:rsidRDefault="00922AD1" w:rsidP="005A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estimated OR per SD decrease of telomere length (rs11125529) = 1.36 (0.61, 3.03), p = 0.46</w:t>
            </w:r>
          </w:p>
        </w:tc>
      </w:tr>
    </w:tbl>
    <w:p w:rsidR="007E02C7" w:rsidRPr="005A0E9D" w:rsidRDefault="00922AD1" w:rsidP="005A0E9D">
      <w:pPr>
        <w:spacing w:after="0" w:line="240" w:lineRule="auto"/>
        <w:rPr>
          <w:sz w:val="20"/>
          <w:szCs w:val="20"/>
          <w:lang w:val="en-US"/>
        </w:rPr>
      </w:pPr>
      <w:r w:rsidRPr="005A0E9D">
        <w:rPr>
          <w:rFonts w:ascii="Times New Roman" w:hAnsi="Times New Roman" w:cs="Times New Roman"/>
          <w:sz w:val="20"/>
          <w:szCs w:val="20"/>
          <w:lang w:val="en-US"/>
        </w:rPr>
        <w:t>AD, Alzheimer’s disease; CI, confidence interval; MR, Mendelian</w:t>
      </w:r>
      <w:r w:rsidR="00BB4CE8" w:rsidRPr="005A0E9D">
        <w:rPr>
          <w:rFonts w:ascii="Times New Roman" w:hAnsi="Times New Roman" w:cs="Times New Roman"/>
          <w:sz w:val="20"/>
          <w:szCs w:val="20"/>
          <w:lang w:val="en-US"/>
        </w:rPr>
        <w:t xml:space="preserve"> randomization; OR, odds ratio</w:t>
      </w:r>
      <w:bookmarkStart w:id="0" w:name="_GoBack"/>
      <w:bookmarkEnd w:id="0"/>
    </w:p>
    <w:sectPr w:rsidR="007E02C7" w:rsidRPr="005A0E9D" w:rsidSect="00BB4C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77" w:rsidRDefault="00980C77">
      <w:pPr>
        <w:spacing w:after="0" w:line="240" w:lineRule="auto"/>
      </w:pPr>
      <w:r>
        <w:separator/>
      </w:r>
    </w:p>
  </w:endnote>
  <w:endnote w:type="continuationSeparator" w:id="0">
    <w:p w:rsidR="00980C77" w:rsidRDefault="0098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332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25A" w:rsidRDefault="00A82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1C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225A" w:rsidRDefault="00A82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77" w:rsidRDefault="00980C77">
      <w:pPr>
        <w:spacing w:after="0" w:line="240" w:lineRule="auto"/>
      </w:pPr>
      <w:r>
        <w:separator/>
      </w:r>
    </w:p>
  </w:footnote>
  <w:footnote w:type="continuationSeparator" w:id="0">
    <w:p w:rsidR="00980C77" w:rsidRDefault="0098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143"/>
    <w:multiLevelType w:val="hybridMultilevel"/>
    <w:tmpl w:val="0AE41586"/>
    <w:lvl w:ilvl="0" w:tplc="A4221A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C23"/>
    <w:multiLevelType w:val="hybridMultilevel"/>
    <w:tmpl w:val="BB7E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CF9"/>
    <w:multiLevelType w:val="hybridMultilevel"/>
    <w:tmpl w:val="3E2EF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32D7"/>
    <w:multiLevelType w:val="hybridMultilevel"/>
    <w:tmpl w:val="9AE0F96E"/>
    <w:lvl w:ilvl="0" w:tplc="E5BC0C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E064A"/>
    <w:multiLevelType w:val="hybridMultilevel"/>
    <w:tmpl w:val="0A3A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E4053"/>
    <w:multiLevelType w:val="hybridMultilevel"/>
    <w:tmpl w:val="639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47B"/>
    <w:multiLevelType w:val="hybridMultilevel"/>
    <w:tmpl w:val="FB860B2C"/>
    <w:lvl w:ilvl="0" w:tplc="40989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4854"/>
    <w:multiLevelType w:val="hybridMultilevel"/>
    <w:tmpl w:val="0A92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22AD1"/>
    <w:rsid w:val="0008534A"/>
    <w:rsid w:val="0009003F"/>
    <w:rsid w:val="000E5A88"/>
    <w:rsid w:val="001450BF"/>
    <w:rsid w:val="001862AF"/>
    <w:rsid w:val="001900C9"/>
    <w:rsid w:val="001A32F9"/>
    <w:rsid w:val="00234ABD"/>
    <w:rsid w:val="002553FD"/>
    <w:rsid w:val="00280145"/>
    <w:rsid w:val="00316B4B"/>
    <w:rsid w:val="00335F94"/>
    <w:rsid w:val="00347DA9"/>
    <w:rsid w:val="00376BAC"/>
    <w:rsid w:val="003A5A8A"/>
    <w:rsid w:val="003B0387"/>
    <w:rsid w:val="003C4C0F"/>
    <w:rsid w:val="003F0B6D"/>
    <w:rsid w:val="004212B9"/>
    <w:rsid w:val="00476035"/>
    <w:rsid w:val="004B401B"/>
    <w:rsid w:val="004C132B"/>
    <w:rsid w:val="004D527C"/>
    <w:rsid w:val="00507758"/>
    <w:rsid w:val="0051735B"/>
    <w:rsid w:val="005223AA"/>
    <w:rsid w:val="00527D5F"/>
    <w:rsid w:val="005634E6"/>
    <w:rsid w:val="00566EC2"/>
    <w:rsid w:val="00571ED6"/>
    <w:rsid w:val="00583B3B"/>
    <w:rsid w:val="005970EC"/>
    <w:rsid w:val="005A0E9D"/>
    <w:rsid w:val="005B08B1"/>
    <w:rsid w:val="005F3D48"/>
    <w:rsid w:val="006266F8"/>
    <w:rsid w:val="00643743"/>
    <w:rsid w:val="006564FC"/>
    <w:rsid w:val="0066555E"/>
    <w:rsid w:val="006E6896"/>
    <w:rsid w:val="00772B65"/>
    <w:rsid w:val="007878BC"/>
    <w:rsid w:val="007E02C7"/>
    <w:rsid w:val="00890B3A"/>
    <w:rsid w:val="008E616E"/>
    <w:rsid w:val="00922AD1"/>
    <w:rsid w:val="00944A98"/>
    <w:rsid w:val="00961BC5"/>
    <w:rsid w:val="0096478E"/>
    <w:rsid w:val="00980C77"/>
    <w:rsid w:val="00A8225A"/>
    <w:rsid w:val="00A82A28"/>
    <w:rsid w:val="00A92B47"/>
    <w:rsid w:val="00AB7253"/>
    <w:rsid w:val="00AE26F9"/>
    <w:rsid w:val="00B03745"/>
    <w:rsid w:val="00B47756"/>
    <w:rsid w:val="00B72914"/>
    <w:rsid w:val="00BB4CE8"/>
    <w:rsid w:val="00BB7456"/>
    <w:rsid w:val="00BE19E5"/>
    <w:rsid w:val="00BE3B78"/>
    <w:rsid w:val="00CE10B1"/>
    <w:rsid w:val="00D06C9E"/>
    <w:rsid w:val="00D638A1"/>
    <w:rsid w:val="00D860F4"/>
    <w:rsid w:val="00E2792B"/>
    <w:rsid w:val="00E651CD"/>
    <w:rsid w:val="00F24063"/>
    <w:rsid w:val="00F72077"/>
    <w:rsid w:val="00FE023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2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D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22AD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22AD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22A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22AD1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92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AD1"/>
    <w:pPr>
      <w:ind w:left="720"/>
      <w:contextualSpacing/>
    </w:pPr>
  </w:style>
  <w:style w:type="character" w:customStyle="1" w:styleId="st">
    <w:name w:val="st"/>
    <w:basedOn w:val="DefaultParagraphFont"/>
    <w:rsid w:val="00922AD1"/>
  </w:style>
  <w:style w:type="character" w:styleId="Hyperlink">
    <w:name w:val="Hyperlink"/>
    <w:basedOn w:val="DefaultParagraphFont"/>
    <w:uiPriority w:val="99"/>
    <w:unhideWhenUsed/>
    <w:rsid w:val="00922A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2AD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22A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D1"/>
  </w:style>
  <w:style w:type="paragraph" w:styleId="Footer">
    <w:name w:val="footer"/>
    <w:basedOn w:val="Normal"/>
    <w:link w:val="FooterChar"/>
    <w:uiPriority w:val="99"/>
    <w:unhideWhenUsed/>
    <w:rsid w:val="0092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D1"/>
  </w:style>
  <w:style w:type="character" w:styleId="LineNumber">
    <w:name w:val="line number"/>
    <w:basedOn w:val="DefaultParagraphFont"/>
    <w:uiPriority w:val="99"/>
    <w:semiHidden/>
    <w:unhideWhenUsed/>
    <w:rsid w:val="00922A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B65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2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D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22AD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22AD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22A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22AD1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92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AD1"/>
    <w:pPr>
      <w:ind w:left="720"/>
      <w:contextualSpacing/>
    </w:pPr>
  </w:style>
  <w:style w:type="character" w:customStyle="1" w:styleId="st">
    <w:name w:val="st"/>
    <w:basedOn w:val="DefaultParagraphFont"/>
    <w:rsid w:val="00922AD1"/>
  </w:style>
  <w:style w:type="character" w:styleId="Hyperlink">
    <w:name w:val="Hyperlink"/>
    <w:basedOn w:val="DefaultParagraphFont"/>
    <w:uiPriority w:val="99"/>
    <w:unhideWhenUsed/>
    <w:rsid w:val="00922A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2AD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922A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D1"/>
  </w:style>
  <w:style w:type="paragraph" w:styleId="Footer">
    <w:name w:val="footer"/>
    <w:basedOn w:val="Normal"/>
    <w:link w:val="FooterChar"/>
    <w:uiPriority w:val="99"/>
    <w:unhideWhenUsed/>
    <w:rsid w:val="0092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D1"/>
  </w:style>
  <w:style w:type="character" w:styleId="LineNumber">
    <w:name w:val="line number"/>
    <w:basedOn w:val="DefaultParagraphFont"/>
    <w:uiPriority w:val="99"/>
    <w:semiHidden/>
    <w:unhideWhenUsed/>
    <w:rsid w:val="00922A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B65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AC5-06F3-466B-8E78-526A86B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1917</Words>
  <Characters>10932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Elzbieta</dc:creator>
  <cp:lastModifiedBy>SGML</cp:lastModifiedBy>
  <cp:revision>2</cp:revision>
  <dcterms:created xsi:type="dcterms:W3CDTF">2018-05-26T09:58:00Z</dcterms:created>
  <dcterms:modified xsi:type="dcterms:W3CDTF">2018-05-26T09:58:00Z</dcterms:modified>
</cp:coreProperties>
</file>