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6508F" w14:textId="389C31B6" w:rsidR="00641C49" w:rsidRPr="001448E1" w:rsidRDefault="00611535">
      <w:pPr>
        <w:rPr>
          <w:lang w:val="en-US"/>
        </w:rPr>
      </w:pPr>
      <w:r w:rsidRPr="001448E1">
        <w:rPr>
          <w:lang w:val="en-US"/>
        </w:rPr>
        <w:t>Supplementary Table 3</w:t>
      </w:r>
      <w:r w:rsidR="001448E1" w:rsidRPr="001448E1">
        <w:rPr>
          <w:lang w:val="en-US"/>
        </w:rPr>
        <w:t xml:space="preserve">. </w:t>
      </w:r>
      <w:r w:rsidR="00A57E57" w:rsidRPr="001448E1">
        <w:rPr>
          <w:lang w:val="en-US"/>
        </w:rPr>
        <w:t xml:space="preserve">Characteristics of </w:t>
      </w:r>
      <w:r w:rsidR="0057489F" w:rsidRPr="001448E1">
        <w:rPr>
          <w:lang w:val="en-US"/>
        </w:rPr>
        <w:t xml:space="preserve">DTA </w:t>
      </w:r>
      <w:r w:rsidR="00A57E57" w:rsidRPr="001448E1">
        <w:rPr>
          <w:lang w:val="en-US"/>
        </w:rPr>
        <w:t>studies awaiting classification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11177"/>
      </w:tblGrid>
      <w:tr w:rsidR="005E37EA" w:rsidRPr="001448E1" w14:paraId="67250C4A" w14:textId="77777777" w:rsidTr="0025163B">
        <w:tc>
          <w:tcPr>
            <w:tcW w:w="13948" w:type="dxa"/>
            <w:gridSpan w:val="2"/>
          </w:tcPr>
          <w:p w14:paraId="7DBD6DAA" w14:textId="77777777" w:rsidR="005E37EA" w:rsidRPr="001448E1" w:rsidRDefault="00F5515F" w:rsidP="00A57E57">
            <w:pPr>
              <w:contextualSpacing/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Caminiti 2016</w:t>
            </w:r>
            <w:r w:rsidR="00C3158D" w:rsidRPr="001448E1">
              <w:rPr>
                <w:b/>
                <w:lang w:val="en-US"/>
              </w:rPr>
              <w:t xml:space="preserve"> (Abstract)</w:t>
            </w:r>
          </w:p>
        </w:tc>
      </w:tr>
      <w:tr w:rsidR="00F5515F" w:rsidRPr="001448E1" w14:paraId="307DBC24" w14:textId="77777777" w:rsidTr="0025163B">
        <w:tc>
          <w:tcPr>
            <w:tcW w:w="2771" w:type="dxa"/>
          </w:tcPr>
          <w:p w14:paraId="135564B4" w14:textId="77777777" w:rsidR="00F5515F" w:rsidRPr="001448E1" w:rsidRDefault="00F5515F" w:rsidP="00C66F82">
            <w:pPr>
              <w:contextualSpacing/>
              <w:rPr>
                <w:lang w:val="en-US"/>
              </w:rPr>
            </w:pPr>
            <w:r w:rsidRPr="001448E1">
              <w:rPr>
                <w:b/>
                <w:lang w:val="en-US"/>
              </w:rPr>
              <w:t>Patient sampling</w:t>
            </w:r>
          </w:p>
        </w:tc>
        <w:tc>
          <w:tcPr>
            <w:tcW w:w="11177" w:type="dxa"/>
          </w:tcPr>
          <w:p w14:paraId="4E04FD7E" w14:textId="77777777" w:rsidR="00F5515F" w:rsidRPr="001448E1" w:rsidRDefault="00C3158D" w:rsidP="00A57E5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>Not reported</w:t>
            </w:r>
          </w:p>
        </w:tc>
      </w:tr>
      <w:tr w:rsidR="00F5515F" w:rsidRPr="001448E1" w14:paraId="063D7A57" w14:textId="77777777" w:rsidTr="0025163B">
        <w:tc>
          <w:tcPr>
            <w:tcW w:w="2771" w:type="dxa"/>
          </w:tcPr>
          <w:p w14:paraId="62A78419" w14:textId="77777777" w:rsidR="00F5515F" w:rsidRPr="001448E1" w:rsidRDefault="00F5515F" w:rsidP="00C66F82">
            <w:pPr>
              <w:contextualSpacing/>
              <w:rPr>
                <w:lang w:val="en-US"/>
              </w:rPr>
            </w:pPr>
            <w:r w:rsidRPr="001448E1">
              <w:rPr>
                <w:b/>
                <w:lang w:val="en-US"/>
              </w:rPr>
              <w:t>Patient characteristics and settings</w:t>
            </w:r>
          </w:p>
        </w:tc>
        <w:tc>
          <w:tcPr>
            <w:tcW w:w="11177" w:type="dxa"/>
          </w:tcPr>
          <w:p w14:paraId="4F8396D0" w14:textId="66F067A5" w:rsidR="00F5515F" w:rsidRPr="001448E1" w:rsidRDefault="00C3158D" w:rsidP="00A57E5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 xml:space="preserve">99 MCI participants, mean age 70.4±7.3 years, recruited from a number of </w:t>
            </w:r>
            <w:r w:rsidR="001448E1" w:rsidRPr="001448E1">
              <w:rPr>
                <w:lang w:val="en-US"/>
              </w:rPr>
              <w:t>centers</w:t>
            </w:r>
            <w:r w:rsidRPr="001448E1">
              <w:rPr>
                <w:lang w:val="en-US"/>
              </w:rPr>
              <w:t xml:space="preserve"> (a </w:t>
            </w:r>
            <w:r w:rsidR="001448E1" w:rsidRPr="001448E1">
              <w:rPr>
                <w:lang w:val="en-US"/>
              </w:rPr>
              <w:t>multicenter</w:t>
            </w:r>
            <w:r w:rsidRPr="001448E1">
              <w:rPr>
                <w:lang w:val="en-US"/>
              </w:rPr>
              <w:t xml:space="preserve"> study)</w:t>
            </w:r>
          </w:p>
        </w:tc>
      </w:tr>
      <w:tr w:rsidR="00F5515F" w:rsidRPr="001448E1" w14:paraId="16DC5C14" w14:textId="77777777" w:rsidTr="0025163B">
        <w:tc>
          <w:tcPr>
            <w:tcW w:w="2771" w:type="dxa"/>
          </w:tcPr>
          <w:p w14:paraId="7F8B07BC" w14:textId="77777777" w:rsidR="00F5515F" w:rsidRPr="001448E1" w:rsidRDefault="00F5515F" w:rsidP="00C66F82">
            <w:pPr>
              <w:contextualSpacing/>
              <w:rPr>
                <w:lang w:val="en-US"/>
              </w:rPr>
            </w:pPr>
            <w:r w:rsidRPr="001448E1">
              <w:rPr>
                <w:b/>
                <w:lang w:val="en-US"/>
              </w:rPr>
              <w:t>Index test</w:t>
            </w:r>
          </w:p>
        </w:tc>
        <w:tc>
          <w:tcPr>
            <w:tcW w:w="11177" w:type="dxa"/>
          </w:tcPr>
          <w:p w14:paraId="13B4B6FA" w14:textId="38A4D452" w:rsidR="00F5515F" w:rsidRPr="001448E1" w:rsidRDefault="00C3158D" w:rsidP="00E85594">
            <w:pPr>
              <w:contextualSpacing/>
              <w:rPr>
                <w:lang w:val="en-US"/>
              </w:rPr>
            </w:pPr>
            <w:bookmarkStart w:id="0" w:name="_GoBack"/>
            <w:r w:rsidRPr="00455F47">
              <w:rPr>
                <w:vertAlign w:val="superscript"/>
                <w:lang w:val="en-US"/>
              </w:rPr>
              <w:t>18</w:t>
            </w:r>
            <w:bookmarkEnd w:id="0"/>
            <w:r w:rsidRPr="001448E1">
              <w:rPr>
                <w:lang w:val="en-US"/>
              </w:rPr>
              <w:t xml:space="preserve">F-FDG PET scan; metric: </w:t>
            </w:r>
            <w:r w:rsidR="001448E1" w:rsidRPr="001448E1">
              <w:rPr>
                <w:lang w:val="en-US"/>
              </w:rPr>
              <w:t>optimized</w:t>
            </w:r>
            <w:r w:rsidRPr="001448E1">
              <w:rPr>
                <w:lang w:val="en-US"/>
              </w:rPr>
              <w:t xml:space="preserve"> SPM method. </w:t>
            </w:r>
            <w:r w:rsidR="00E85594" w:rsidRPr="001448E1">
              <w:rPr>
                <w:rFonts w:cs="Segoe UI"/>
                <w:lang w:val="en-US"/>
              </w:rPr>
              <w:t xml:space="preserve">Each patient SPM-t map was classified by imaging experts, blind to clinical information, as negative, AD-like, DLB-like or FTD-like patterns. </w:t>
            </w:r>
          </w:p>
        </w:tc>
      </w:tr>
      <w:tr w:rsidR="00F5515F" w:rsidRPr="001448E1" w14:paraId="6E4CBA9D" w14:textId="77777777" w:rsidTr="0025163B">
        <w:tc>
          <w:tcPr>
            <w:tcW w:w="2771" w:type="dxa"/>
          </w:tcPr>
          <w:p w14:paraId="1EC53B24" w14:textId="77777777" w:rsidR="00F5515F" w:rsidRPr="001448E1" w:rsidRDefault="00F5515F" w:rsidP="00C66F82">
            <w:pPr>
              <w:contextualSpacing/>
              <w:rPr>
                <w:lang w:val="en-US"/>
              </w:rPr>
            </w:pPr>
            <w:r w:rsidRPr="001448E1">
              <w:rPr>
                <w:b/>
                <w:lang w:val="en-US"/>
              </w:rPr>
              <w:t>Target condition</w:t>
            </w:r>
          </w:p>
        </w:tc>
        <w:tc>
          <w:tcPr>
            <w:tcW w:w="11177" w:type="dxa"/>
          </w:tcPr>
          <w:p w14:paraId="0F7A9FAF" w14:textId="77777777" w:rsidR="00F5515F" w:rsidRPr="001448E1" w:rsidRDefault="00E85594" w:rsidP="00A57E5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 xml:space="preserve">Conversion to </w:t>
            </w:r>
            <w:r w:rsidR="001A560C" w:rsidRPr="001448E1">
              <w:rPr>
                <w:lang w:val="en-US"/>
              </w:rPr>
              <w:t>all dementia (</w:t>
            </w:r>
            <w:r w:rsidRPr="001448E1">
              <w:rPr>
                <w:lang w:val="en-US"/>
              </w:rPr>
              <w:t>Alzheimer’s dementia or DLB or FTD</w:t>
            </w:r>
            <w:r w:rsidR="001A560C" w:rsidRPr="001448E1">
              <w:rPr>
                <w:lang w:val="en-US"/>
              </w:rPr>
              <w:t>)</w:t>
            </w:r>
          </w:p>
        </w:tc>
      </w:tr>
      <w:tr w:rsidR="00F5515F" w:rsidRPr="001448E1" w14:paraId="2519A721" w14:textId="77777777" w:rsidTr="0025163B">
        <w:tc>
          <w:tcPr>
            <w:tcW w:w="2771" w:type="dxa"/>
          </w:tcPr>
          <w:p w14:paraId="10A0022A" w14:textId="77777777" w:rsidR="00F5515F" w:rsidRPr="001448E1" w:rsidRDefault="00F5515F" w:rsidP="00C66F82">
            <w:pPr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Flow and timing</w:t>
            </w:r>
          </w:p>
        </w:tc>
        <w:tc>
          <w:tcPr>
            <w:tcW w:w="11177" w:type="dxa"/>
          </w:tcPr>
          <w:p w14:paraId="657FB2BD" w14:textId="77777777" w:rsidR="00F5515F" w:rsidRPr="001448E1" w:rsidRDefault="00E85594" w:rsidP="00A57E5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>Duration of follow-up: 20.2±10 months</w:t>
            </w:r>
          </w:p>
          <w:p w14:paraId="6EF8E050" w14:textId="77777777" w:rsidR="00E85594" w:rsidRPr="001448E1" w:rsidRDefault="00E85594" w:rsidP="001A560C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>Sensitivity</w:t>
            </w:r>
            <w:r w:rsidR="001A560C" w:rsidRPr="001448E1">
              <w:rPr>
                <w:lang w:val="en-US"/>
              </w:rPr>
              <w:t>=</w:t>
            </w:r>
            <w:r w:rsidR="0096048F" w:rsidRPr="001448E1">
              <w:rPr>
                <w:lang w:val="en-US"/>
              </w:rPr>
              <w:t>100</w:t>
            </w:r>
            <w:r w:rsidR="001A560C" w:rsidRPr="001448E1">
              <w:rPr>
                <w:lang w:val="en-US"/>
              </w:rPr>
              <w:t>%; specificity=75%; 83 (84%) MCI participants had pathological</w:t>
            </w:r>
            <w:r w:rsidR="0096048F" w:rsidRPr="001448E1">
              <w:rPr>
                <w:lang w:val="en-US"/>
              </w:rPr>
              <w:t xml:space="preserve"> 18F-FDG PET scan (test positive)</w:t>
            </w:r>
            <w:r w:rsidR="001A560C" w:rsidRPr="001448E1">
              <w:rPr>
                <w:lang w:val="en-US"/>
              </w:rPr>
              <w:t>; 46/83 (55%) converted to dementia. 16 (16%) MCI participants had normal 18F-FDG PET scan (negative test) and none of them converted to dementia.</w:t>
            </w:r>
          </w:p>
          <w:p w14:paraId="5CC24D3B" w14:textId="77777777" w:rsidR="001A560C" w:rsidRPr="001448E1" w:rsidRDefault="001A560C" w:rsidP="001A560C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>TR=46; FP=37; TN=16; FN=0 (Calculated in RevMan5)</w:t>
            </w:r>
          </w:p>
        </w:tc>
      </w:tr>
      <w:tr w:rsidR="00F5515F" w:rsidRPr="001448E1" w14:paraId="31E11674" w14:textId="77777777" w:rsidTr="0025163B">
        <w:tc>
          <w:tcPr>
            <w:tcW w:w="13948" w:type="dxa"/>
            <w:gridSpan w:val="2"/>
          </w:tcPr>
          <w:p w14:paraId="642D5688" w14:textId="77777777" w:rsidR="00F5515F" w:rsidRPr="001448E1" w:rsidRDefault="00F5515F" w:rsidP="00A57E57">
            <w:pPr>
              <w:contextualSpacing/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Notes</w:t>
            </w:r>
          </w:p>
          <w:p w14:paraId="3A5D8C6D" w14:textId="77777777" w:rsidR="00F5515F" w:rsidRPr="001448E1" w:rsidRDefault="0025163B" w:rsidP="00A57E5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 xml:space="preserve">Dr Perani email on 27/7/2017: Full paper has not been published yet. It has been submitted to NeuroImage Clinical </w:t>
            </w:r>
          </w:p>
        </w:tc>
      </w:tr>
      <w:tr w:rsidR="00F5515F" w:rsidRPr="001448E1" w14:paraId="2FF705BD" w14:textId="77777777" w:rsidTr="0025163B">
        <w:tc>
          <w:tcPr>
            <w:tcW w:w="13948" w:type="dxa"/>
            <w:gridSpan w:val="2"/>
          </w:tcPr>
          <w:p w14:paraId="2327265A" w14:textId="77777777" w:rsidR="00F5515F" w:rsidRPr="001448E1" w:rsidRDefault="00F5515F" w:rsidP="00A57E57">
            <w:pPr>
              <w:contextualSpacing/>
              <w:rPr>
                <w:lang w:val="en-US"/>
              </w:rPr>
            </w:pPr>
          </w:p>
        </w:tc>
      </w:tr>
      <w:tr w:rsidR="00F5515F" w:rsidRPr="001448E1" w14:paraId="59046060" w14:textId="77777777" w:rsidTr="0025163B">
        <w:tc>
          <w:tcPr>
            <w:tcW w:w="13948" w:type="dxa"/>
            <w:gridSpan w:val="2"/>
          </w:tcPr>
          <w:p w14:paraId="32A40298" w14:textId="77777777" w:rsidR="00F5515F" w:rsidRPr="001448E1" w:rsidRDefault="00F5515F" w:rsidP="00A57E57">
            <w:pPr>
              <w:contextualSpacing/>
              <w:rPr>
                <w:lang w:val="en-US"/>
              </w:rPr>
            </w:pPr>
            <w:r w:rsidRPr="001448E1">
              <w:rPr>
                <w:b/>
                <w:lang w:val="en-US"/>
              </w:rPr>
              <w:t>Caroli 2015 (Abstract)</w:t>
            </w:r>
          </w:p>
        </w:tc>
      </w:tr>
      <w:tr w:rsidR="005E37EA" w:rsidRPr="001448E1" w14:paraId="25EDF94B" w14:textId="77777777" w:rsidTr="0025163B">
        <w:tc>
          <w:tcPr>
            <w:tcW w:w="2771" w:type="dxa"/>
          </w:tcPr>
          <w:p w14:paraId="17F236F1" w14:textId="77777777" w:rsidR="005E37EA" w:rsidRPr="001448E1" w:rsidRDefault="005E37EA" w:rsidP="00A57E57">
            <w:pPr>
              <w:contextualSpacing/>
              <w:rPr>
                <w:lang w:val="en-US"/>
              </w:rPr>
            </w:pPr>
            <w:r w:rsidRPr="001448E1">
              <w:rPr>
                <w:b/>
                <w:lang w:val="en-US"/>
              </w:rPr>
              <w:t>Patient sampling</w:t>
            </w:r>
          </w:p>
        </w:tc>
        <w:tc>
          <w:tcPr>
            <w:tcW w:w="11177" w:type="dxa"/>
          </w:tcPr>
          <w:p w14:paraId="42327CE3" w14:textId="77777777" w:rsidR="005E37EA" w:rsidRPr="001448E1" w:rsidRDefault="00365097" w:rsidP="00A57E5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>Not reported</w:t>
            </w:r>
          </w:p>
        </w:tc>
      </w:tr>
      <w:tr w:rsidR="005E37EA" w:rsidRPr="001448E1" w14:paraId="3F3E3C2D" w14:textId="77777777" w:rsidTr="0025163B">
        <w:tc>
          <w:tcPr>
            <w:tcW w:w="2771" w:type="dxa"/>
          </w:tcPr>
          <w:p w14:paraId="35816A25" w14:textId="77777777" w:rsidR="005E37EA" w:rsidRPr="001448E1" w:rsidRDefault="005E37EA" w:rsidP="00A57E57">
            <w:pPr>
              <w:contextualSpacing/>
              <w:rPr>
                <w:lang w:val="en-US"/>
              </w:rPr>
            </w:pPr>
            <w:r w:rsidRPr="001448E1">
              <w:rPr>
                <w:b/>
                <w:lang w:val="en-US"/>
              </w:rPr>
              <w:t>Patient characteristics and settings</w:t>
            </w:r>
          </w:p>
        </w:tc>
        <w:tc>
          <w:tcPr>
            <w:tcW w:w="11177" w:type="dxa"/>
          </w:tcPr>
          <w:p w14:paraId="40D1D440" w14:textId="77777777" w:rsidR="005E37EA" w:rsidRPr="001448E1" w:rsidRDefault="00365097" w:rsidP="00A57E57">
            <w:pPr>
              <w:contextualSpacing/>
              <w:rPr>
                <w:rFonts w:cs="Segoe UI"/>
                <w:lang w:val="en-US"/>
              </w:rPr>
            </w:pPr>
            <w:r w:rsidRPr="001448E1">
              <w:rPr>
                <w:rFonts w:cs="Segoe UI"/>
                <w:lang w:val="en-US"/>
              </w:rPr>
              <w:t>188 MCI patients were clinically followed for at least 1 year to detect progression to AD dementia.</w:t>
            </w:r>
          </w:p>
          <w:p w14:paraId="4CC867AD" w14:textId="77777777" w:rsidR="00365097" w:rsidRPr="001448E1" w:rsidRDefault="00365097" w:rsidP="00365097">
            <w:pPr>
              <w:contextualSpacing/>
              <w:rPr>
                <w:lang w:val="en-US"/>
              </w:rPr>
            </w:pPr>
            <w:r w:rsidRPr="001448E1">
              <w:rPr>
                <w:rFonts w:cs="Segoe UI"/>
                <w:lang w:val="en-US"/>
              </w:rPr>
              <w:t>At follow-up: 89 MCI patients progressed to AD and 99 remained stable or improved.</w:t>
            </w:r>
          </w:p>
        </w:tc>
      </w:tr>
      <w:tr w:rsidR="005E37EA" w:rsidRPr="001448E1" w14:paraId="2B01906D" w14:textId="77777777" w:rsidTr="0025163B">
        <w:tc>
          <w:tcPr>
            <w:tcW w:w="2771" w:type="dxa"/>
          </w:tcPr>
          <w:p w14:paraId="51976C81" w14:textId="77777777" w:rsidR="005E37EA" w:rsidRPr="001448E1" w:rsidRDefault="005E37EA" w:rsidP="00A57E57">
            <w:pPr>
              <w:contextualSpacing/>
              <w:rPr>
                <w:lang w:val="en-US"/>
              </w:rPr>
            </w:pPr>
            <w:r w:rsidRPr="001448E1">
              <w:rPr>
                <w:b/>
                <w:lang w:val="en-US"/>
              </w:rPr>
              <w:t>Index test</w:t>
            </w:r>
          </w:p>
        </w:tc>
        <w:tc>
          <w:tcPr>
            <w:tcW w:w="11177" w:type="dxa"/>
          </w:tcPr>
          <w:p w14:paraId="392A68C1" w14:textId="77777777" w:rsidR="005E37EA" w:rsidRPr="001448E1" w:rsidRDefault="00365097" w:rsidP="00A57E5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>18F-FDG PET scan</w:t>
            </w:r>
          </w:p>
        </w:tc>
      </w:tr>
      <w:tr w:rsidR="005E37EA" w:rsidRPr="001448E1" w14:paraId="4FF7E1D2" w14:textId="77777777" w:rsidTr="0025163B">
        <w:tc>
          <w:tcPr>
            <w:tcW w:w="2771" w:type="dxa"/>
          </w:tcPr>
          <w:p w14:paraId="760E770B" w14:textId="77777777" w:rsidR="005E37EA" w:rsidRPr="001448E1" w:rsidRDefault="005E37EA" w:rsidP="00A57E57">
            <w:pPr>
              <w:contextualSpacing/>
              <w:rPr>
                <w:lang w:val="en-US"/>
              </w:rPr>
            </w:pPr>
            <w:r w:rsidRPr="001448E1">
              <w:rPr>
                <w:b/>
                <w:lang w:val="en-US"/>
              </w:rPr>
              <w:t>Target condition</w:t>
            </w:r>
          </w:p>
        </w:tc>
        <w:tc>
          <w:tcPr>
            <w:tcW w:w="11177" w:type="dxa"/>
          </w:tcPr>
          <w:p w14:paraId="23F9CBD9" w14:textId="77777777" w:rsidR="00365097" w:rsidRPr="001448E1" w:rsidRDefault="00365097" w:rsidP="0036509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 xml:space="preserve">Target condition: conversion from MCI to </w:t>
            </w:r>
            <w:r w:rsidR="00293BA2" w:rsidRPr="001448E1">
              <w:rPr>
                <w:lang w:val="en-US"/>
              </w:rPr>
              <w:t>AD</w:t>
            </w:r>
            <w:r w:rsidRPr="001448E1">
              <w:rPr>
                <w:lang w:val="en-US"/>
              </w:rPr>
              <w:t xml:space="preserve"> dementia</w:t>
            </w:r>
          </w:p>
          <w:p w14:paraId="410DF835" w14:textId="77777777" w:rsidR="005E37EA" w:rsidRPr="001448E1" w:rsidRDefault="00365097" w:rsidP="0036509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 xml:space="preserve">Reference standard: </w:t>
            </w:r>
            <w:r w:rsidRPr="001448E1">
              <w:rPr>
                <w:rFonts w:eastAsia="Times New Roman" w:cs="Arial"/>
                <w:lang w:val="en-US" w:eastAsia="en-GB"/>
              </w:rPr>
              <w:t>not reported</w:t>
            </w:r>
          </w:p>
        </w:tc>
      </w:tr>
      <w:tr w:rsidR="005E37EA" w:rsidRPr="001448E1" w14:paraId="64651004" w14:textId="77777777" w:rsidTr="0025163B">
        <w:tc>
          <w:tcPr>
            <w:tcW w:w="2771" w:type="dxa"/>
          </w:tcPr>
          <w:p w14:paraId="739F0396" w14:textId="77777777" w:rsidR="005E37EA" w:rsidRPr="001448E1" w:rsidRDefault="005E37EA" w:rsidP="00B858C7">
            <w:pPr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Flow and timing</w:t>
            </w:r>
          </w:p>
        </w:tc>
        <w:tc>
          <w:tcPr>
            <w:tcW w:w="11177" w:type="dxa"/>
          </w:tcPr>
          <w:p w14:paraId="36598A94" w14:textId="77777777" w:rsidR="005E37EA" w:rsidRPr="001448E1" w:rsidRDefault="00365097" w:rsidP="00A57E5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>Duration of follow-up: ˃1 year</w:t>
            </w:r>
          </w:p>
          <w:p w14:paraId="242617A0" w14:textId="77777777" w:rsidR="00365097" w:rsidRPr="001448E1" w:rsidRDefault="00C24BA3" w:rsidP="00C24BA3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 xml:space="preserve">Data for creating 2X2 table not available. </w:t>
            </w:r>
          </w:p>
        </w:tc>
      </w:tr>
      <w:tr w:rsidR="005E37EA" w:rsidRPr="001448E1" w14:paraId="504FBAAE" w14:textId="77777777" w:rsidTr="0025163B">
        <w:tc>
          <w:tcPr>
            <w:tcW w:w="13948" w:type="dxa"/>
            <w:gridSpan w:val="2"/>
          </w:tcPr>
          <w:p w14:paraId="142460D1" w14:textId="77777777" w:rsidR="005E37EA" w:rsidRPr="001448E1" w:rsidRDefault="005E37EA" w:rsidP="00A57E57">
            <w:pPr>
              <w:contextualSpacing/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Notes</w:t>
            </w:r>
          </w:p>
          <w:p w14:paraId="52A2F2F6" w14:textId="053BD398" w:rsidR="00C24BA3" w:rsidRPr="001448E1" w:rsidRDefault="00C24BA3" w:rsidP="00A57E57">
            <w:pPr>
              <w:contextualSpacing/>
              <w:rPr>
                <w:b/>
                <w:lang w:val="en-US"/>
              </w:rPr>
            </w:pPr>
            <w:r w:rsidRPr="001448E1">
              <w:rPr>
                <w:rFonts w:cs="Arial"/>
                <w:lang w:val="en-US"/>
              </w:rPr>
              <w:t>Additional information (e.g.</w:t>
            </w:r>
            <w:r w:rsidR="001448E1">
              <w:rPr>
                <w:rFonts w:cs="Arial"/>
                <w:lang w:val="en-US"/>
              </w:rPr>
              <w:t>,</w:t>
            </w:r>
            <w:r w:rsidRPr="001448E1">
              <w:rPr>
                <w:rFonts w:cs="Arial"/>
                <w:lang w:val="en-US"/>
              </w:rPr>
              <w:t xml:space="preserve"> whether there is a full paper published, etc.) and missing data were requested from the author but no further information was available at the time this review was prepared. Dr Galluzzi (email on 21/4/16) wrote </w:t>
            </w:r>
            <w:r w:rsidRPr="001448E1">
              <w:rPr>
                <w:rFonts w:cs="Arial"/>
                <w:i/>
                <w:lang w:val="en-US"/>
              </w:rPr>
              <w:t>“the full paper is under revision”.</w:t>
            </w:r>
          </w:p>
        </w:tc>
      </w:tr>
      <w:tr w:rsidR="003969B9" w:rsidRPr="001448E1" w14:paraId="736DE34F" w14:textId="77777777" w:rsidTr="0025163B">
        <w:tc>
          <w:tcPr>
            <w:tcW w:w="13948" w:type="dxa"/>
            <w:gridSpan w:val="2"/>
          </w:tcPr>
          <w:p w14:paraId="1DB993F5" w14:textId="77777777" w:rsidR="003969B9" w:rsidRPr="001448E1" w:rsidRDefault="003969B9" w:rsidP="00A57E57">
            <w:pPr>
              <w:contextualSpacing/>
              <w:rPr>
                <w:lang w:val="en-US"/>
              </w:rPr>
            </w:pPr>
          </w:p>
        </w:tc>
      </w:tr>
      <w:tr w:rsidR="00EC1282" w:rsidRPr="001448E1" w14:paraId="41F1476D" w14:textId="77777777" w:rsidTr="0025163B">
        <w:tc>
          <w:tcPr>
            <w:tcW w:w="13948" w:type="dxa"/>
            <w:gridSpan w:val="2"/>
          </w:tcPr>
          <w:p w14:paraId="59B64E93" w14:textId="77777777" w:rsidR="00EC1282" w:rsidRPr="001448E1" w:rsidRDefault="00EC1282" w:rsidP="001F2B94">
            <w:pPr>
              <w:contextualSpacing/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Chen 2013</w:t>
            </w:r>
            <w:r w:rsidR="0016502D" w:rsidRPr="001448E1">
              <w:rPr>
                <w:b/>
                <w:lang w:val="en-US"/>
              </w:rPr>
              <w:t xml:space="preserve"> (A</w:t>
            </w:r>
            <w:r w:rsidR="00443A1A" w:rsidRPr="001448E1">
              <w:rPr>
                <w:b/>
                <w:lang w:val="en-US"/>
              </w:rPr>
              <w:t>b</w:t>
            </w:r>
            <w:r w:rsidR="0016502D" w:rsidRPr="001448E1">
              <w:rPr>
                <w:b/>
                <w:lang w:val="en-US"/>
              </w:rPr>
              <w:t>stract)</w:t>
            </w:r>
          </w:p>
        </w:tc>
      </w:tr>
      <w:tr w:rsidR="00AB1FDA" w:rsidRPr="001448E1" w14:paraId="6EAA1531" w14:textId="77777777" w:rsidTr="0025163B">
        <w:tc>
          <w:tcPr>
            <w:tcW w:w="2771" w:type="dxa"/>
          </w:tcPr>
          <w:p w14:paraId="604DFB42" w14:textId="77777777" w:rsidR="00AB1FDA" w:rsidRPr="001448E1" w:rsidRDefault="00AB1FDA" w:rsidP="00A57E57">
            <w:pPr>
              <w:contextualSpacing/>
              <w:rPr>
                <w:lang w:val="en-US"/>
              </w:rPr>
            </w:pPr>
            <w:r w:rsidRPr="001448E1">
              <w:rPr>
                <w:b/>
                <w:lang w:val="en-US"/>
              </w:rPr>
              <w:t>Patient sampling</w:t>
            </w:r>
          </w:p>
        </w:tc>
        <w:tc>
          <w:tcPr>
            <w:tcW w:w="11177" w:type="dxa"/>
          </w:tcPr>
          <w:p w14:paraId="2AAD0AF0" w14:textId="77777777" w:rsidR="0016502D" w:rsidRPr="001448E1" w:rsidRDefault="00AB1FDA" w:rsidP="0016502D">
            <w:pPr>
              <w:contextualSpacing/>
              <w:rPr>
                <w:rFonts w:cs="Times-Roman"/>
                <w:lang w:val="en-US"/>
              </w:rPr>
            </w:pPr>
            <w:r w:rsidRPr="001448E1">
              <w:rPr>
                <w:lang w:val="en-US"/>
              </w:rPr>
              <w:t>Study design: nested case-control design; retrospective analysis of longitudinal data</w:t>
            </w:r>
            <w:r w:rsidR="0016502D" w:rsidRPr="001448E1">
              <w:rPr>
                <w:lang w:val="en-US"/>
              </w:rPr>
              <w:t xml:space="preserve">. </w:t>
            </w:r>
            <w:r w:rsidR="0016502D" w:rsidRPr="001448E1">
              <w:rPr>
                <w:rFonts w:cs="Times-Roman"/>
                <w:lang w:val="en-US"/>
              </w:rPr>
              <w:t xml:space="preserve"> </w:t>
            </w:r>
          </w:p>
          <w:p w14:paraId="4B896B9C" w14:textId="77777777" w:rsidR="0016502D" w:rsidRPr="001448E1" w:rsidRDefault="0016502D" w:rsidP="0016502D">
            <w:pPr>
              <w:contextualSpacing/>
              <w:rPr>
                <w:lang w:val="en-US"/>
              </w:rPr>
            </w:pPr>
            <w:r w:rsidRPr="001448E1">
              <w:rPr>
                <w:rFonts w:cs="Times-Roman"/>
                <w:lang w:val="en-US"/>
              </w:rPr>
              <w:t xml:space="preserve">We only consider the data for </w:t>
            </w:r>
            <w:r w:rsidRPr="001448E1">
              <w:rPr>
                <w:vertAlign w:val="superscript"/>
                <w:lang w:val="en-US"/>
              </w:rPr>
              <w:t>18</w:t>
            </w:r>
            <w:r w:rsidRPr="001448E1">
              <w:rPr>
                <w:lang w:val="en-US"/>
              </w:rPr>
              <w:t>F-FDG PET</w:t>
            </w:r>
            <w:r w:rsidRPr="001448E1">
              <w:rPr>
                <w:rFonts w:cs="Times-Roman"/>
                <w:lang w:val="en-US"/>
              </w:rPr>
              <w:t xml:space="preserve"> scan.</w:t>
            </w:r>
          </w:p>
          <w:p w14:paraId="71F21204" w14:textId="77777777" w:rsidR="00AB1FDA" w:rsidRPr="001448E1" w:rsidRDefault="00AB1FDA" w:rsidP="00AB1FDA">
            <w:pPr>
              <w:contextualSpacing/>
              <w:rPr>
                <w:rFonts w:cs="Arial"/>
                <w:lang w:val="en-US"/>
              </w:rPr>
            </w:pPr>
            <w:r w:rsidRPr="001448E1">
              <w:rPr>
                <w:rFonts w:cs="Arial"/>
                <w:lang w:val="en-US"/>
              </w:rPr>
              <w:lastRenderedPageBreak/>
              <w:t>Exclusion criteria: not reported</w:t>
            </w:r>
          </w:p>
        </w:tc>
      </w:tr>
      <w:tr w:rsidR="005E37EA" w:rsidRPr="001448E1" w14:paraId="2684E2E4" w14:textId="77777777" w:rsidTr="0025163B">
        <w:tc>
          <w:tcPr>
            <w:tcW w:w="2771" w:type="dxa"/>
          </w:tcPr>
          <w:p w14:paraId="0DFBEED1" w14:textId="77777777" w:rsidR="005E37EA" w:rsidRPr="001448E1" w:rsidRDefault="005E37EA" w:rsidP="0059590E">
            <w:pPr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lastRenderedPageBreak/>
              <w:t>Patient characteristics and settings</w:t>
            </w:r>
          </w:p>
        </w:tc>
        <w:tc>
          <w:tcPr>
            <w:tcW w:w="11177" w:type="dxa"/>
          </w:tcPr>
          <w:p w14:paraId="15057EB4" w14:textId="77777777" w:rsidR="00AB1FDA" w:rsidRPr="001448E1" w:rsidRDefault="00AB1FDA" w:rsidP="00AB1FDA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lang w:val="en-US" w:eastAsia="en-GB"/>
              </w:rPr>
              <w:t>139 MCI ADNI participants diagnosed by MCI.</w:t>
            </w:r>
          </w:p>
          <w:p w14:paraId="0EDA6A67" w14:textId="286D5FD0" w:rsidR="00AB1FDA" w:rsidRPr="001448E1" w:rsidRDefault="00AB1FDA" w:rsidP="00AB1FDA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 xml:space="preserve">Gender: 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women, men</w:t>
            </w:r>
            <w:r w:rsidR="003B0F7F">
              <w:rPr>
                <w:rFonts w:eastAsia="Times New Roman" w:cs="Arial"/>
                <w:lang w:val="en-US" w:eastAsia="en-GB"/>
              </w:rPr>
              <w:t xml:space="preserve"> </w:t>
            </w:r>
            <w:r w:rsidRPr="001448E1">
              <w:rPr>
                <w:rFonts w:eastAsia="Times New Roman" w:cs="Arial"/>
                <w:lang w:val="en-US" w:eastAsia="en-GB"/>
              </w:rPr>
              <w:t>(not reported)</w:t>
            </w:r>
          </w:p>
          <w:p w14:paraId="6C30AEEF" w14:textId="77777777" w:rsidR="00AB1FDA" w:rsidRPr="001448E1" w:rsidRDefault="00AB1FDA" w:rsidP="00AB1FDA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Age: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MCI converters mean 75.9 years; non-MCI converters mean 75.4 years</w:t>
            </w:r>
          </w:p>
          <w:p w14:paraId="22B3E589" w14:textId="77777777" w:rsidR="00AB1FDA" w:rsidRPr="001448E1" w:rsidRDefault="00AB1FDA" w:rsidP="00AB1FDA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A</w:t>
            </w:r>
            <w:r w:rsidR="00293BA2" w:rsidRPr="001448E1">
              <w:rPr>
                <w:rFonts w:eastAsia="Times New Roman" w:cs="Arial"/>
                <w:u w:val="single"/>
                <w:lang w:val="en-US" w:eastAsia="en-GB"/>
              </w:rPr>
              <w:t>po</w:t>
            </w:r>
            <w:r w:rsidRPr="001448E1">
              <w:rPr>
                <w:rFonts w:eastAsia="Times New Roman" w:cs="Arial"/>
                <w:u w:val="single"/>
                <w:lang w:val="en-US" w:eastAsia="en-GB"/>
              </w:rPr>
              <w:t>E ε4 carrier: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not reported</w:t>
            </w:r>
          </w:p>
          <w:p w14:paraId="6A798305" w14:textId="77777777" w:rsidR="00AB1FDA" w:rsidRPr="001448E1" w:rsidRDefault="00AB1FDA" w:rsidP="00AB1FDA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MMSE: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not reported</w:t>
            </w:r>
          </w:p>
          <w:p w14:paraId="52A4573E" w14:textId="77777777" w:rsidR="00AB1FDA" w:rsidRPr="001448E1" w:rsidRDefault="00AB1FDA" w:rsidP="00AB1FDA">
            <w:pPr>
              <w:spacing w:after="120"/>
              <w:contextualSpacing/>
              <w:rPr>
                <w:rFonts w:eastAsia="Times New Roman" w:cs="Arial"/>
                <w:u w:val="single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Education: not reported</w:t>
            </w:r>
          </w:p>
          <w:p w14:paraId="05B3CC1B" w14:textId="77777777" w:rsidR="00AB1FDA" w:rsidRPr="001448E1" w:rsidRDefault="00AB1FDA" w:rsidP="00AB1FDA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Sources of referral: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not reported</w:t>
            </w:r>
          </w:p>
          <w:p w14:paraId="5DA9CE78" w14:textId="6F1FF8BF" w:rsidR="00AB1FDA" w:rsidRPr="001448E1" w:rsidRDefault="00AB1FDA" w:rsidP="00AB1FDA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Setting: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</w:t>
            </w:r>
            <w:r w:rsidR="001448E1" w:rsidRPr="001448E1">
              <w:rPr>
                <w:rFonts w:eastAsia="Times New Roman" w:cs="Arial"/>
                <w:lang w:val="en-US" w:eastAsia="en-GB"/>
              </w:rPr>
              <w:t>multicenter</w:t>
            </w:r>
          </w:p>
          <w:p w14:paraId="5662C74E" w14:textId="77777777" w:rsidR="005E37EA" w:rsidRPr="001448E1" w:rsidRDefault="00AB1FDA" w:rsidP="00AB1FDA">
            <w:pPr>
              <w:spacing w:after="120"/>
              <w:contextualSpacing/>
              <w:rPr>
                <w:lang w:val="en-US"/>
              </w:rPr>
            </w:pPr>
            <w:r w:rsidRPr="001448E1">
              <w:rPr>
                <w:rFonts w:eastAsia="Times New Roman" w:cs="Arial"/>
                <w:lang w:val="en-US" w:eastAsia="en-GB"/>
              </w:rPr>
              <w:t>Note: two groups did not differ in mean age, education and gender ratio.</w:t>
            </w:r>
          </w:p>
        </w:tc>
      </w:tr>
      <w:tr w:rsidR="005E37EA" w:rsidRPr="001448E1" w14:paraId="25922F8C" w14:textId="77777777" w:rsidTr="0025163B">
        <w:tc>
          <w:tcPr>
            <w:tcW w:w="2771" w:type="dxa"/>
          </w:tcPr>
          <w:p w14:paraId="5300F95A" w14:textId="77777777" w:rsidR="005E37EA" w:rsidRPr="001448E1" w:rsidRDefault="005E37EA" w:rsidP="0059590E">
            <w:pPr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Index test</w:t>
            </w:r>
          </w:p>
        </w:tc>
        <w:tc>
          <w:tcPr>
            <w:tcW w:w="11177" w:type="dxa"/>
          </w:tcPr>
          <w:p w14:paraId="676AD832" w14:textId="77777777" w:rsidR="0016502D" w:rsidRPr="001448E1" w:rsidRDefault="0016502D" w:rsidP="0016502D">
            <w:pPr>
              <w:autoSpaceDE w:val="0"/>
              <w:autoSpaceDN w:val="0"/>
              <w:adjustRightInd w:val="0"/>
              <w:rPr>
                <w:rFonts w:cs="Times-Roman"/>
                <w:lang w:val="en-US"/>
              </w:rPr>
            </w:pPr>
            <w:r w:rsidRPr="001448E1">
              <w:rPr>
                <w:vertAlign w:val="superscript"/>
                <w:lang w:val="en-US"/>
              </w:rPr>
              <w:t>18</w:t>
            </w:r>
            <w:r w:rsidRPr="001448E1">
              <w:rPr>
                <w:lang w:val="en-US"/>
              </w:rPr>
              <w:t>F-FDG PET</w:t>
            </w:r>
            <w:r w:rsidRPr="001448E1">
              <w:rPr>
                <w:rFonts w:cs="Times-Roman"/>
                <w:lang w:val="en-US"/>
              </w:rPr>
              <w:t xml:space="preserve"> scan</w:t>
            </w:r>
          </w:p>
          <w:p w14:paraId="08F4E297" w14:textId="77777777" w:rsidR="0016502D" w:rsidRPr="001448E1" w:rsidRDefault="0016502D" w:rsidP="0016502D">
            <w:pPr>
              <w:rPr>
                <w:lang w:val="en-US"/>
              </w:rPr>
            </w:pPr>
            <w:r w:rsidRPr="001448E1">
              <w:rPr>
                <w:u w:val="single"/>
                <w:lang w:val="en-US"/>
              </w:rPr>
              <w:t>Threshold:</w:t>
            </w:r>
            <w:r w:rsidRPr="001448E1">
              <w:rPr>
                <w:lang w:val="en-US"/>
              </w:rPr>
              <w:t xml:space="preserve"> not reported</w:t>
            </w:r>
          </w:p>
          <w:p w14:paraId="35A567F7" w14:textId="77777777" w:rsidR="0016502D" w:rsidRPr="001448E1" w:rsidRDefault="0016502D" w:rsidP="005E37EA">
            <w:pPr>
              <w:rPr>
                <w:lang w:val="en-US"/>
              </w:rPr>
            </w:pPr>
            <w:r w:rsidRPr="001448E1">
              <w:rPr>
                <w:lang w:val="en-US"/>
              </w:rPr>
              <w:t>Hypermetabolic convergence index (HC</w:t>
            </w:r>
            <w:r w:rsidR="00FB39E0" w:rsidRPr="001448E1">
              <w:rPr>
                <w:lang w:val="en-US"/>
              </w:rPr>
              <w:t>I</w:t>
            </w:r>
            <w:r w:rsidRPr="001448E1">
              <w:rPr>
                <w:lang w:val="en-US"/>
              </w:rPr>
              <w:t>) used to distinguish converters from non-converters</w:t>
            </w:r>
          </w:p>
        </w:tc>
      </w:tr>
      <w:tr w:rsidR="005E37EA" w:rsidRPr="001448E1" w14:paraId="0D5E2E99" w14:textId="77777777" w:rsidTr="0025163B">
        <w:tc>
          <w:tcPr>
            <w:tcW w:w="2771" w:type="dxa"/>
          </w:tcPr>
          <w:p w14:paraId="7436C5E7" w14:textId="77777777" w:rsidR="005E37EA" w:rsidRPr="001448E1" w:rsidRDefault="005E37EA" w:rsidP="0059590E">
            <w:pPr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Target condition</w:t>
            </w:r>
          </w:p>
        </w:tc>
        <w:tc>
          <w:tcPr>
            <w:tcW w:w="11177" w:type="dxa"/>
          </w:tcPr>
          <w:p w14:paraId="74532A06" w14:textId="77777777" w:rsidR="005E37EA" w:rsidRPr="001448E1" w:rsidRDefault="005E37EA" w:rsidP="00A57E5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>Target condition: conversion from MCI to Alzheimer’s disease dementia</w:t>
            </w:r>
          </w:p>
          <w:p w14:paraId="358012CE" w14:textId="77777777" w:rsidR="005E37EA" w:rsidRPr="001448E1" w:rsidRDefault="005E37EA" w:rsidP="00A57E57">
            <w:pPr>
              <w:rPr>
                <w:rFonts w:eastAsia="Times New Roman" w:cs="Arial"/>
                <w:lang w:val="en-US" w:eastAsia="en-GB"/>
              </w:rPr>
            </w:pPr>
            <w:r w:rsidRPr="001448E1">
              <w:rPr>
                <w:lang w:val="en-US"/>
              </w:rPr>
              <w:t xml:space="preserve">Reference standard: </w:t>
            </w:r>
            <w:r w:rsidRPr="001448E1">
              <w:rPr>
                <w:rFonts w:eastAsia="Times New Roman" w:cs="Arial"/>
                <w:lang w:val="en-US" w:eastAsia="en-GB"/>
              </w:rPr>
              <w:t>not reported</w:t>
            </w:r>
          </w:p>
        </w:tc>
      </w:tr>
      <w:tr w:rsidR="005E37EA" w:rsidRPr="001448E1" w14:paraId="3525C634" w14:textId="77777777" w:rsidTr="0025163B">
        <w:tc>
          <w:tcPr>
            <w:tcW w:w="2771" w:type="dxa"/>
          </w:tcPr>
          <w:p w14:paraId="712E5B2D" w14:textId="77777777" w:rsidR="005E37EA" w:rsidRPr="001448E1" w:rsidRDefault="005E37EA" w:rsidP="0059590E">
            <w:pPr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Flow and timing</w:t>
            </w:r>
          </w:p>
        </w:tc>
        <w:tc>
          <w:tcPr>
            <w:tcW w:w="11177" w:type="dxa"/>
          </w:tcPr>
          <w:p w14:paraId="1A6CC503" w14:textId="77777777" w:rsidR="0016502D" w:rsidRPr="001448E1" w:rsidRDefault="0016502D" w:rsidP="0016502D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lang w:val="en-US" w:eastAsia="en-GB"/>
              </w:rPr>
              <w:t>Duration of follow-up: 3 years</w:t>
            </w:r>
          </w:p>
          <w:p w14:paraId="59CEBAB6" w14:textId="77777777" w:rsidR="0016502D" w:rsidRPr="001448E1" w:rsidRDefault="0016502D" w:rsidP="0016502D">
            <w:pPr>
              <w:autoSpaceDE w:val="0"/>
              <w:autoSpaceDN w:val="0"/>
              <w:adjustRightInd w:val="0"/>
              <w:rPr>
                <w:rFonts w:eastAsia="Times New Roman" w:cs="Arial"/>
                <w:u w:val="single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Number included in analysis (N=139)</w:t>
            </w:r>
          </w:p>
          <w:p w14:paraId="6ADDC1EA" w14:textId="3896B172" w:rsidR="0016502D" w:rsidRPr="001448E1" w:rsidRDefault="0016502D" w:rsidP="0016502D">
            <w:pPr>
              <w:autoSpaceDE w:val="0"/>
              <w:autoSpaceDN w:val="0"/>
              <w:adjustRightInd w:val="0"/>
              <w:rPr>
                <w:rFonts w:cs="AdvTT3713a231"/>
                <w:color w:val="131413"/>
                <w:lang w:val="en-US"/>
              </w:rPr>
            </w:pPr>
            <w:r w:rsidRPr="001448E1">
              <w:rPr>
                <w:rFonts w:eastAsia="Times New Roman" w:cs="Arial"/>
                <w:lang w:val="en-US" w:eastAsia="en-GB"/>
              </w:rPr>
              <w:t>At follow-up: 78 MCI-AD (disease positive); 61 MCI-MCI (disease negative</w:t>
            </w:r>
            <w:r w:rsidR="00293BA2" w:rsidRPr="001448E1">
              <w:rPr>
                <w:rFonts w:eastAsia="Times New Roman" w:cs="Arial"/>
                <w:lang w:val="en-US" w:eastAsia="en-GB"/>
              </w:rPr>
              <w:t>)</w:t>
            </w:r>
          </w:p>
          <w:p w14:paraId="58651A21" w14:textId="77777777" w:rsidR="0016502D" w:rsidRPr="001448E1" w:rsidRDefault="00FB39E0" w:rsidP="0016502D">
            <w:pPr>
              <w:autoSpaceDE w:val="0"/>
              <w:autoSpaceDN w:val="0"/>
              <w:adjustRightInd w:val="0"/>
              <w:rPr>
                <w:rFonts w:cs="AdvTT3713a231"/>
                <w:color w:val="131413"/>
                <w:lang w:val="en-US"/>
              </w:rPr>
            </w:pPr>
            <w:r w:rsidRPr="001448E1">
              <w:rPr>
                <w:rFonts w:cs="AdvTT3713a231"/>
                <w:color w:val="131413"/>
                <w:lang w:val="en-US"/>
              </w:rPr>
              <w:t>Conversion from MCI to AD dementia</w:t>
            </w:r>
          </w:p>
          <w:p w14:paraId="39A84206" w14:textId="77777777" w:rsidR="0016502D" w:rsidRPr="001448E1" w:rsidRDefault="0016502D" w:rsidP="0016502D">
            <w:pPr>
              <w:autoSpaceDE w:val="0"/>
              <w:autoSpaceDN w:val="0"/>
              <w:adjustRightInd w:val="0"/>
              <w:rPr>
                <w:rFonts w:cs="AdvTT3713a231"/>
                <w:color w:val="131413"/>
                <w:lang w:val="en-US"/>
              </w:rPr>
            </w:pPr>
            <w:r w:rsidRPr="001448E1">
              <w:rPr>
                <w:rFonts w:cs="AdvTT3713a231"/>
                <w:color w:val="131413"/>
                <w:lang w:val="en-US"/>
              </w:rPr>
              <w:t>Sensitivity=80%; specificity=64%</w:t>
            </w:r>
          </w:p>
          <w:p w14:paraId="06F9B873" w14:textId="77777777" w:rsidR="005E37EA" w:rsidRPr="001448E1" w:rsidRDefault="0016502D" w:rsidP="005E37EA">
            <w:pPr>
              <w:autoSpaceDE w:val="0"/>
              <w:autoSpaceDN w:val="0"/>
              <w:adjustRightInd w:val="0"/>
              <w:rPr>
                <w:rFonts w:cs="AdvTT3713a231"/>
                <w:color w:val="131413"/>
                <w:lang w:val="en-US"/>
              </w:rPr>
            </w:pPr>
            <w:r w:rsidRPr="001448E1">
              <w:rPr>
                <w:rFonts w:cs="Arial"/>
                <w:lang w:val="en-US"/>
              </w:rPr>
              <w:t>TP=62; FP=22; FN=16; TN=39; PPV=</w:t>
            </w:r>
            <w:r w:rsidR="00293BA2" w:rsidRPr="001448E1">
              <w:rPr>
                <w:rFonts w:cs="Arial"/>
                <w:lang w:val="en-US"/>
              </w:rPr>
              <w:t>74%; NPV=71% (Calculated in RevM</w:t>
            </w:r>
            <w:r w:rsidRPr="001448E1">
              <w:rPr>
                <w:rFonts w:cs="Arial"/>
                <w:lang w:val="en-US"/>
              </w:rPr>
              <w:t>an5)</w:t>
            </w:r>
          </w:p>
        </w:tc>
      </w:tr>
      <w:tr w:rsidR="005E37EA" w:rsidRPr="001448E1" w14:paraId="7BFB8507" w14:textId="77777777" w:rsidTr="0025163B">
        <w:tc>
          <w:tcPr>
            <w:tcW w:w="13948" w:type="dxa"/>
            <w:gridSpan w:val="2"/>
          </w:tcPr>
          <w:p w14:paraId="05319C19" w14:textId="77777777" w:rsidR="005E37EA" w:rsidRPr="001448E1" w:rsidRDefault="00EC1282" w:rsidP="00EC1282">
            <w:pPr>
              <w:spacing w:after="120"/>
              <w:contextualSpacing/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Notes</w:t>
            </w:r>
          </w:p>
          <w:p w14:paraId="5B3E3170" w14:textId="77777777" w:rsidR="0016502D" w:rsidRPr="001448E1" w:rsidRDefault="0016502D" w:rsidP="00EC1282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cs="Arial"/>
                <w:lang w:val="en-US"/>
              </w:rPr>
              <w:t>The author contacted asking whether there is a full paper published but no further information was available at the time this review was prepared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</w:t>
            </w:r>
          </w:p>
        </w:tc>
      </w:tr>
      <w:tr w:rsidR="00F5515F" w:rsidRPr="001448E1" w14:paraId="493F7F91" w14:textId="77777777" w:rsidTr="0025163B">
        <w:tc>
          <w:tcPr>
            <w:tcW w:w="13948" w:type="dxa"/>
            <w:gridSpan w:val="2"/>
          </w:tcPr>
          <w:p w14:paraId="7B2B5A98" w14:textId="77777777" w:rsidR="00F5515F" w:rsidRPr="001448E1" w:rsidRDefault="00F5515F" w:rsidP="00A5263B">
            <w:pPr>
              <w:spacing w:after="120"/>
              <w:contextualSpacing/>
              <w:rPr>
                <w:lang w:val="en-US"/>
              </w:rPr>
            </w:pPr>
          </w:p>
        </w:tc>
      </w:tr>
      <w:tr w:rsidR="00F5515F" w:rsidRPr="001448E1" w14:paraId="3B746994" w14:textId="77777777" w:rsidTr="0025163B">
        <w:tc>
          <w:tcPr>
            <w:tcW w:w="13948" w:type="dxa"/>
            <w:gridSpan w:val="2"/>
          </w:tcPr>
          <w:p w14:paraId="240DAB61" w14:textId="77777777" w:rsidR="00F5515F" w:rsidRPr="001448E1" w:rsidRDefault="00F5515F" w:rsidP="00A5263B">
            <w:pPr>
              <w:spacing w:after="120"/>
              <w:contextualSpacing/>
              <w:rPr>
                <w:lang w:val="en-US"/>
              </w:rPr>
            </w:pPr>
            <w:r w:rsidRPr="001448E1">
              <w:rPr>
                <w:b/>
                <w:lang w:val="en-US"/>
              </w:rPr>
              <w:t>Lee 2015 (Abstract)</w:t>
            </w:r>
          </w:p>
        </w:tc>
      </w:tr>
      <w:tr w:rsidR="005E37EA" w:rsidRPr="001448E1" w14:paraId="3FDB331B" w14:textId="77777777" w:rsidTr="0025163B">
        <w:tc>
          <w:tcPr>
            <w:tcW w:w="2771" w:type="dxa"/>
          </w:tcPr>
          <w:p w14:paraId="7C031539" w14:textId="77777777" w:rsidR="005E37EA" w:rsidRPr="001448E1" w:rsidRDefault="005E37EA" w:rsidP="0059590E">
            <w:pPr>
              <w:spacing w:after="120"/>
              <w:contextualSpacing/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Patient sampling</w:t>
            </w:r>
          </w:p>
        </w:tc>
        <w:tc>
          <w:tcPr>
            <w:tcW w:w="11177" w:type="dxa"/>
          </w:tcPr>
          <w:p w14:paraId="1D523055" w14:textId="77777777" w:rsidR="005E37EA" w:rsidRPr="001448E1" w:rsidRDefault="00A5263B" w:rsidP="00A5263B">
            <w:pPr>
              <w:spacing w:after="120"/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>Study design</w:t>
            </w:r>
            <w:r w:rsidRPr="001448E1">
              <w:rPr>
                <w:b/>
                <w:lang w:val="en-US"/>
              </w:rPr>
              <w:t xml:space="preserve">: </w:t>
            </w:r>
            <w:r w:rsidRPr="001448E1">
              <w:rPr>
                <w:lang w:val="en-US"/>
              </w:rPr>
              <w:t>nested case-control study; no further information</w:t>
            </w:r>
          </w:p>
          <w:p w14:paraId="7514F3D5" w14:textId="77777777" w:rsidR="00A5263B" w:rsidRPr="001448E1" w:rsidRDefault="00A5263B" w:rsidP="00A5263B">
            <w:pPr>
              <w:spacing w:after="120"/>
              <w:contextualSpacing/>
              <w:rPr>
                <w:b/>
                <w:lang w:val="en-US"/>
              </w:rPr>
            </w:pPr>
            <w:r w:rsidRPr="001448E1">
              <w:rPr>
                <w:rFonts w:cs="Arial"/>
                <w:lang w:val="en-US"/>
              </w:rPr>
              <w:t>Exclusion criteria: not reported</w:t>
            </w:r>
          </w:p>
        </w:tc>
      </w:tr>
      <w:tr w:rsidR="005E37EA" w:rsidRPr="001448E1" w14:paraId="47A08414" w14:textId="77777777" w:rsidTr="0025163B">
        <w:tc>
          <w:tcPr>
            <w:tcW w:w="2771" w:type="dxa"/>
          </w:tcPr>
          <w:p w14:paraId="57446F0B" w14:textId="77777777" w:rsidR="005E37EA" w:rsidRPr="001448E1" w:rsidRDefault="005E37EA" w:rsidP="0059590E">
            <w:pPr>
              <w:spacing w:after="120"/>
              <w:contextualSpacing/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Patient characteristics and settings</w:t>
            </w:r>
          </w:p>
        </w:tc>
        <w:tc>
          <w:tcPr>
            <w:tcW w:w="11177" w:type="dxa"/>
          </w:tcPr>
          <w:p w14:paraId="7764E9D6" w14:textId="77777777" w:rsidR="00CE3CB7" w:rsidRPr="001448E1" w:rsidRDefault="00CE3CB7" w:rsidP="00CE3CB7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lang w:val="en-US" w:eastAsia="en-GB"/>
              </w:rPr>
              <w:t>59 MCI participants: 22 MCI-AD and 35 MCI-MCI</w:t>
            </w:r>
          </w:p>
          <w:p w14:paraId="756BA5B5" w14:textId="77777777" w:rsidR="00CE3CB7" w:rsidRPr="001448E1" w:rsidRDefault="00CE3CB7" w:rsidP="00CE3CB7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 xml:space="preserve">Gender: 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not reported</w:t>
            </w:r>
          </w:p>
          <w:p w14:paraId="3DC11168" w14:textId="77777777" w:rsidR="00CE3CB7" w:rsidRPr="001448E1" w:rsidRDefault="00CE3CB7" w:rsidP="00CE3CB7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Age: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MCI converters ±years; non-MCI converters ±years</w:t>
            </w:r>
          </w:p>
          <w:p w14:paraId="32C597FA" w14:textId="08223836" w:rsidR="00CE3CB7" w:rsidRPr="001448E1" w:rsidRDefault="00CE3CB7" w:rsidP="00CE3CB7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A</w:t>
            </w:r>
            <w:r w:rsidR="00293BA2" w:rsidRPr="001448E1">
              <w:rPr>
                <w:rFonts w:eastAsia="Times New Roman" w:cs="Arial"/>
                <w:u w:val="single"/>
                <w:lang w:val="en-US" w:eastAsia="en-GB"/>
              </w:rPr>
              <w:t>po</w:t>
            </w:r>
            <w:r w:rsidRPr="001448E1">
              <w:rPr>
                <w:rFonts w:eastAsia="Times New Roman" w:cs="Arial"/>
                <w:u w:val="single"/>
                <w:lang w:val="en-US" w:eastAsia="en-GB"/>
              </w:rPr>
              <w:t>E ε4 carrier: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total sample; MCI converters ; non-MCI converters</w:t>
            </w:r>
          </w:p>
          <w:p w14:paraId="61641973" w14:textId="77777777" w:rsidR="00CE3CB7" w:rsidRPr="001448E1" w:rsidRDefault="00CE3CB7" w:rsidP="00CE3CB7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MMSE: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total sample 26.9±1.6; MCI converters 26.2±1.5; non-MCI converters 27.9±1.3</w:t>
            </w:r>
          </w:p>
          <w:p w14:paraId="5831437E" w14:textId="77777777" w:rsidR="00CE3CB7" w:rsidRPr="001448E1" w:rsidRDefault="00CE3CB7" w:rsidP="00CE3CB7">
            <w:pPr>
              <w:spacing w:after="120"/>
              <w:contextualSpacing/>
              <w:rPr>
                <w:rFonts w:eastAsia="Times New Roman" w:cs="Arial"/>
                <w:u w:val="single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Education</w:t>
            </w:r>
            <w:r w:rsidRPr="001448E1">
              <w:rPr>
                <w:rFonts w:eastAsia="Times New Roman" w:cs="Arial"/>
                <w:lang w:val="en-US" w:eastAsia="en-GB"/>
              </w:rPr>
              <w:t>: not reported</w:t>
            </w:r>
          </w:p>
          <w:p w14:paraId="74F71622" w14:textId="77777777" w:rsidR="00CE3CB7" w:rsidRPr="001448E1" w:rsidRDefault="00CE3CB7" w:rsidP="00CE3CB7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lastRenderedPageBreak/>
              <w:t>Sources of referral: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not reported</w:t>
            </w:r>
          </w:p>
          <w:p w14:paraId="4618FCA1" w14:textId="77777777" w:rsidR="005E37EA" w:rsidRPr="001448E1" w:rsidRDefault="00CE3CB7" w:rsidP="00CE3CB7">
            <w:pPr>
              <w:spacing w:after="120"/>
              <w:contextualSpacing/>
              <w:rPr>
                <w:b/>
                <w:lang w:val="en-US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Setting:</w:t>
            </w:r>
            <w:r w:rsidRPr="001448E1">
              <w:rPr>
                <w:rFonts w:eastAsia="Times New Roman" w:cs="Arial"/>
                <w:lang w:val="en-US" w:eastAsia="en-GB"/>
              </w:rPr>
              <w:t xml:space="preserve"> not reported</w:t>
            </w:r>
          </w:p>
        </w:tc>
      </w:tr>
      <w:tr w:rsidR="005E37EA" w:rsidRPr="001448E1" w14:paraId="3E176814" w14:textId="77777777" w:rsidTr="0025163B">
        <w:tc>
          <w:tcPr>
            <w:tcW w:w="2771" w:type="dxa"/>
          </w:tcPr>
          <w:p w14:paraId="73F7DA10" w14:textId="77777777" w:rsidR="005E37EA" w:rsidRPr="001448E1" w:rsidRDefault="005E37EA" w:rsidP="0059590E">
            <w:pPr>
              <w:spacing w:after="120"/>
              <w:contextualSpacing/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lastRenderedPageBreak/>
              <w:t>Index test</w:t>
            </w:r>
          </w:p>
        </w:tc>
        <w:tc>
          <w:tcPr>
            <w:tcW w:w="11177" w:type="dxa"/>
          </w:tcPr>
          <w:p w14:paraId="0675A01C" w14:textId="77777777" w:rsidR="00CE3CB7" w:rsidRPr="001448E1" w:rsidRDefault="00CE3CB7" w:rsidP="00CE3CB7">
            <w:pPr>
              <w:autoSpaceDE w:val="0"/>
              <w:autoSpaceDN w:val="0"/>
              <w:adjustRightInd w:val="0"/>
              <w:rPr>
                <w:rFonts w:cs="Times-Roman"/>
                <w:lang w:val="en-US"/>
              </w:rPr>
            </w:pPr>
            <w:r w:rsidRPr="001448E1">
              <w:rPr>
                <w:vertAlign w:val="superscript"/>
                <w:lang w:val="en-US"/>
              </w:rPr>
              <w:t>18</w:t>
            </w:r>
            <w:r w:rsidRPr="001448E1">
              <w:rPr>
                <w:lang w:val="en-US"/>
              </w:rPr>
              <w:t>F-FDG PET</w:t>
            </w:r>
            <w:r w:rsidRPr="001448E1">
              <w:rPr>
                <w:rFonts w:cs="Times-Roman"/>
                <w:lang w:val="en-US"/>
              </w:rPr>
              <w:t xml:space="preserve"> scan</w:t>
            </w:r>
          </w:p>
          <w:p w14:paraId="698C153B" w14:textId="77777777" w:rsidR="005E37EA" w:rsidRPr="001448E1" w:rsidRDefault="00CE3CB7" w:rsidP="002028C2">
            <w:pPr>
              <w:rPr>
                <w:lang w:val="en-US"/>
              </w:rPr>
            </w:pPr>
            <w:r w:rsidRPr="001448E1">
              <w:rPr>
                <w:u w:val="single"/>
                <w:lang w:val="en-US"/>
              </w:rPr>
              <w:t>Threshold:</w:t>
            </w:r>
            <w:r w:rsidRPr="001448E1">
              <w:rPr>
                <w:lang w:val="en-US"/>
              </w:rPr>
              <w:t xml:space="preserve"> not reported</w:t>
            </w:r>
          </w:p>
        </w:tc>
      </w:tr>
      <w:tr w:rsidR="005E37EA" w:rsidRPr="001448E1" w14:paraId="380D743A" w14:textId="77777777" w:rsidTr="0025163B">
        <w:tc>
          <w:tcPr>
            <w:tcW w:w="2771" w:type="dxa"/>
          </w:tcPr>
          <w:p w14:paraId="23009378" w14:textId="77777777" w:rsidR="005E37EA" w:rsidRPr="001448E1" w:rsidRDefault="005E37EA" w:rsidP="0059590E">
            <w:pPr>
              <w:spacing w:after="120"/>
              <w:contextualSpacing/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Target condition</w:t>
            </w:r>
          </w:p>
        </w:tc>
        <w:tc>
          <w:tcPr>
            <w:tcW w:w="11177" w:type="dxa"/>
          </w:tcPr>
          <w:p w14:paraId="68263204" w14:textId="77777777" w:rsidR="00CE3CB7" w:rsidRPr="001448E1" w:rsidRDefault="00CE3CB7" w:rsidP="00CE3CB7">
            <w:pPr>
              <w:contextualSpacing/>
              <w:rPr>
                <w:lang w:val="en-US"/>
              </w:rPr>
            </w:pPr>
            <w:r w:rsidRPr="001448E1">
              <w:rPr>
                <w:lang w:val="en-US"/>
              </w:rPr>
              <w:t xml:space="preserve">Target condition: conversion from MCI to </w:t>
            </w:r>
            <w:r w:rsidR="00293BA2" w:rsidRPr="001448E1">
              <w:rPr>
                <w:lang w:val="en-US"/>
              </w:rPr>
              <w:t>AD</w:t>
            </w:r>
            <w:r w:rsidRPr="001448E1">
              <w:rPr>
                <w:lang w:val="en-US"/>
              </w:rPr>
              <w:t xml:space="preserve"> dementia</w:t>
            </w:r>
          </w:p>
          <w:p w14:paraId="1C59B1FA" w14:textId="77777777" w:rsidR="005E37EA" w:rsidRPr="001448E1" w:rsidRDefault="00CE3CB7" w:rsidP="00CE3CB7">
            <w:pPr>
              <w:spacing w:after="120"/>
              <w:contextualSpacing/>
              <w:rPr>
                <w:b/>
                <w:lang w:val="en-US"/>
              </w:rPr>
            </w:pPr>
            <w:r w:rsidRPr="001448E1">
              <w:rPr>
                <w:lang w:val="en-US"/>
              </w:rPr>
              <w:t>Reference standard: not reported</w:t>
            </w:r>
          </w:p>
        </w:tc>
      </w:tr>
      <w:tr w:rsidR="005E37EA" w:rsidRPr="001448E1" w14:paraId="0E3A4355" w14:textId="77777777" w:rsidTr="0025163B">
        <w:tc>
          <w:tcPr>
            <w:tcW w:w="2771" w:type="dxa"/>
          </w:tcPr>
          <w:p w14:paraId="77309595" w14:textId="77777777" w:rsidR="005E37EA" w:rsidRPr="001448E1" w:rsidRDefault="005E37EA" w:rsidP="0059590E">
            <w:pPr>
              <w:spacing w:after="120"/>
              <w:contextualSpacing/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Flow and timing</w:t>
            </w:r>
          </w:p>
        </w:tc>
        <w:tc>
          <w:tcPr>
            <w:tcW w:w="11177" w:type="dxa"/>
          </w:tcPr>
          <w:p w14:paraId="1DE75E08" w14:textId="77777777" w:rsidR="00CE3CB7" w:rsidRPr="001448E1" w:rsidRDefault="00CE3CB7" w:rsidP="00CE3CB7">
            <w:pPr>
              <w:spacing w:after="120"/>
              <w:contextualSpacing/>
              <w:rPr>
                <w:rFonts w:eastAsia="Times New Roman" w:cs="Arial"/>
                <w:lang w:val="en-US" w:eastAsia="en-GB"/>
              </w:rPr>
            </w:pPr>
            <w:r w:rsidRPr="001448E1">
              <w:rPr>
                <w:rFonts w:eastAsia="Times New Roman" w:cs="Arial"/>
                <w:lang w:val="en-US" w:eastAsia="en-GB"/>
              </w:rPr>
              <w:t>Duration of follow-up: 2 years</w:t>
            </w:r>
          </w:p>
          <w:p w14:paraId="500F17C5" w14:textId="77777777" w:rsidR="00CE3CB7" w:rsidRPr="001448E1" w:rsidRDefault="00CE3CB7" w:rsidP="00CE3CB7">
            <w:pPr>
              <w:autoSpaceDE w:val="0"/>
              <w:autoSpaceDN w:val="0"/>
              <w:adjustRightInd w:val="0"/>
              <w:rPr>
                <w:rFonts w:cs="AdvTT3713a231"/>
                <w:color w:val="131413"/>
                <w:lang w:val="en-US"/>
              </w:rPr>
            </w:pPr>
            <w:r w:rsidRPr="001448E1">
              <w:rPr>
                <w:rFonts w:cs="AdvTT3713a231"/>
                <w:color w:val="131413"/>
                <w:lang w:val="en-US"/>
              </w:rPr>
              <w:t>Conversion from MCI to AD</w:t>
            </w:r>
            <w:r w:rsidR="00293BA2" w:rsidRPr="001448E1">
              <w:rPr>
                <w:rFonts w:cs="AdvTT3713a231"/>
                <w:color w:val="131413"/>
                <w:lang w:val="en-US"/>
              </w:rPr>
              <w:t xml:space="preserve"> dementia</w:t>
            </w:r>
          </w:p>
          <w:p w14:paraId="6E0FC99D" w14:textId="77777777" w:rsidR="00CE3CB7" w:rsidRPr="001448E1" w:rsidRDefault="00CE3CB7" w:rsidP="00CE3CB7">
            <w:pPr>
              <w:autoSpaceDE w:val="0"/>
              <w:autoSpaceDN w:val="0"/>
              <w:adjustRightInd w:val="0"/>
              <w:rPr>
                <w:rFonts w:eastAsia="Times New Roman" w:cs="Arial"/>
                <w:u w:val="single"/>
                <w:lang w:val="en-US" w:eastAsia="en-GB"/>
              </w:rPr>
            </w:pPr>
            <w:r w:rsidRPr="001448E1">
              <w:rPr>
                <w:rFonts w:eastAsia="Times New Roman" w:cs="Arial"/>
                <w:u w:val="single"/>
                <w:lang w:val="en-US" w:eastAsia="en-GB"/>
              </w:rPr>
              <w:t>Number included in analysis (N=59)</w:t>
            </w:r>
          </w:p>
          <w:p w14:paraId="6EB67F33" w14:textId="77777777" w:rsidR="00CE3CB7" w:rsidRPr="001448E1" w:rsidRDefault="00CE3CB7" w:rsidP="00CE3CB7">
            <w:pPr>
              <w:autoSpaceDE w:val="0"/>
              <w:autoSpaceDN w:val="0"/>
              <w:adjustRightInd w:val="0"/>
              <w:rPr>
                <w:rFonts w:cs="AdvTT3713a231"/>
                <w:color w:val="131413"/>
                <w:lang w:val="en-US"/>
              </w:rPr>
            </w:pPr>
            <w:r w:rsidRPr="001448E1">
              <w:rPr>
                <w:rFonts w:eastAsia="Times New Roman" w:cs="Arial"/>
                <w:lang w:val="en-US" w:eastAsia="en-GB"/>
              </w:rPr>
              <w:t>At follow-up: 22 MCI-AD (disease positive); 37 MCI-MCI (disease negative)</w:t>
            </w:r>
          </w:p>
          <w:p w14:paraId="6A3AA868" w14:textId="77777777" w:rsidR="00CE3CB7" w:rsidRPr="001448E1" w:rsidRDefault="00CE3CB7" w:rsidP="00CE3CB7">
            <w:pPr>
              <w:autoSpaceDE w:val="0"/>
              <w:autoSpaceDN w:val="0"/>
              <w:adjustRightInd w:val="0"/>
              <w:rPr>
                <w:rFonts w:cs="AdvTT3713a231"/>
                <w:color w:val="131413"/>
                <w:lang w:val="en-US"/>
              </w:rPr>
            </w:pPr>
            <w:r w:rsidRPr="001448E1">
              <w:rPr>
                <w:rFonts w:cs="AdvTT3713a231"/>
                <w:color w:val="131413"/>
                <w:lang w:val="en-US"/>
              </w:rPr>
              <w:t>Sensitivity=63%; specificity=66% when using automatic computer-assisted system</w:t>
            </w:r>
          </w:p>
          <w:p w14:paraId="675B98BD" w14:textId="77777777" w:rsidR="00CE3CB7" w:rsidRPr="001448E1" w:rsidRDefault="00CE3CB7" w:rsidP="00CE3CB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1448E1">
              <w:rPr>
                <w:rFonts w:cs="Arial"/>
                <w:lang w:val="en-US"/>
              </w:rPr>
              <w:t>TP=14; FP=13;</w:t>
            </w:r>
            <w:r w:rsidR="00293BA2" w:rsidRPr="001448E1">
              <w:rPr>
                <w:rFonts w:cs="Arial"/>
                <w:lang w:val="en-US"/>
              </w:rPr>
              <w:t xml:space="preserve"> FN=8; TN=24 (Calculated in RevM</w:t>
            </w:r>
            <w:r w:rsidRPr="001448E1">
              <w:rPr>
                <w:rFonts w:cs="Arial"/>
                <w:lang w:val="en-US"/>
              </w:rPr>
              <w:t>an5)</w:t>
            </w:r>
          </w:p>
          <w:p w14:paraId="3FFF6746" w14:textId="77777777" w:rsidR="00CE3CB7" w:rsidRPr="001448E1" w:rsidRDefault="00CE3CB7" w:rsidP="00CE3CB7">
            <w:pPr>
              <w:autoSpaceDE w:val="0"/>
              <w:autoSpaceDN w:val="0"/>
              <w:adjustRightInd w:val="0"/>
              <w:rPr>
                <w:rFonts w:cs="AdvTT3713a231"/>
                <w:color w:val="131413"/>
                <w:lang w:val="en-US"/>
              </w:rPr>
            </w:pPr>
            <w:r w:rsidRPr="001448E1">
              <w:rPr>
                <w:rFonts w:cs="AdvTT3713a231"/>
                <w:color w:val="131413"/>
                <w:lang w:val="en-US"/>
              </w:rPr>
              <w:t>Sensitivity=64%; specificity=70% when using visual evaluation rating</w:t>
            </w:r>
          </w:p>
          <w:p w14:paraId="4429AF63" w14:textId="77777777" w:rsidR="005E37EA" w:rsidRPr="001448E1" w:rsidRDefault="00CE3CB7" w:rsidP="00CE3CB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1448E1">
              <w:rPr>
                <w:rFonts w:cs="Arial"/>
                <w:lang w:val="en-US"/>
              </w:rPr>
              <w:t>TP=14; FP=11;</w:t>
            </w:r>
            <w:r w:rsidR="00293BA2" w:rsidRPr="001448E1">
              <w:rPr>
                <w:rFonts w:cs="Arial"/>
                <w:lang w:val="en-US"/>
              </w:rPr>
              <w:t xml:space="preserve"> FN=8; TN=26 (Calculated in RevM</w:t>
            </w:r>
            <w:r w:rsidRPr="001448E1">
              <w:rPr>
                <w:rFonts w:cs="Arial"/>
                <w:lang w:val="en-US"/>
              </w:rPr>
              <w:t>an5)</w:t>
            </w:r>
          </w:p>
        </w:tc>
      </w:tr>
      <w:tr w:rsidR="00CE3CB7" w:rsidRPr="001448E1" w14:paraId="7061AB0A" w14:textId="77777777" w:rsidTr="0025163B">
        <w:tc>
          <w:tcPr>
            <w:tcW w:w="13948" w:type="dxa"/>
            <w:gridSpan w:val="2"/>
          </w:tcPr>
          <w:p w14:paraId="6C35C99A" w14:textId="77777777" w:rsidR="00CE3CB7" w:rsidRPr="001448E1" w:rsidRDefault="00CE3CB7" w:rsidP="0059590E">
            <w:pPr>
              <w:spacing w:after="120"/>
              <w:contextualSpacing/>
              <w:rPr>
                <w:b/>
                <w:lang w:val="en-US"/>
              </w:rPr>
            </w:pPr>
            <w:r w:rsidRPr="001448E1">
              <w:rPr>
                <w:b/>
                <w:lang w:val="en-US"/>
              </w:rPr>
              <w:t>Notes</w:t>
            </w:r>
          </w:p>
          <w:p w14:paraId="6683FBD9" w14:textId="2E66E335" w:rsidR="00CE3CB7" w:rsidRPr="001448E1" w:rsidRDefault="00CE3CB7" w:rsidP="00CE3CB7">
            <w:pPr>
              <w:rPr>
                <w:rFonts w:cs="Arial"/>
                <w:lang w:val="en-US"/>
              </w:rPr>
            </w:pPr>
            <w:r w:rsidRPr="001448E1">
              <w:rPr>
                <w:rFonts w:cs="Arial"/>
                <w:lang w:val="en-US"/>
              </w:rPr>
              <w:t>Additional information (e.g.</w:t>
            </w:r>
            <w:r w:rsidR="001448E1" w:rsidRPr="001448E1">
              <w:rPr>
                <w:rFonts w:cs="Arial"/>
                <w:lang w:val="en-US"/>
              </w:rPr>
              <w:t>,</w:t>
            </w:r>
            <w:r w:rsidRPr="001448E1">
              <w:rPr>
                <w:rFonts w:cs="Arial"/>
                <w:lang w:val="en-US"/>
              </w:rPr>
              <w:t xml:space="preserve"> whether there is a full paper published, etc.) and missing data were requested from the author but no further information was available at the time this review was prepared.</w:t>
            </w:r>
          </w:p>
        </w:tc>
      </w:tr>
    </w:tbl>
    <w:p w14:paraId="6DEB9E75" w14:textId="77777777" w:rsidR="00E032EC" w:rsidRPr="001448E1" w:rsidRDefault="00E032EC" w:rsidP="004B028A">
      <w:pPr>
        <w:spacing w:line="240" w:lineRule="auto"/>
        <w:contextualSpacing/>
        <w:rPr>
          <w:lang w:val="en-US"/>
        </w:rPr>
      </w:pPr>
    </w:p>
    <w:p w14:paraId="032AEA37" w14:textId="56843DE8" w:rsidR="00A57E57" w:rsidRPr="001448E1" w:rsidRDefault="008540B8" w:rsidP="004B028A">
      <w:pPr>
        <w:spacing w:line="240" w:lineRule="auto"/>
        <w:contextualSpacing/>
        <w:rPr>
          <w:lang w:val="en-US"/>
        </w:rPr>
      </w:pPr>
      <w:r w:rsidRPr="001448E1">
        <w:rPr>
          <w:lang w:val="en-US"/>
        </w:rPr>
        <w:t>MCI</w:t>
      </w:r>
      <w:r w:rsidR="001448E1" w:rsidRPr="001448E1">
        <w:rPr>
          <w:lang w:val="en-US"/>
        </w:rPr>
        <w:t>,</w:t>
      </w:r>
      <w:r w:rsidRPr="001448E1">
        <w:rPr>
          <w:lang w:val="en-US"/>
        </w:rPr>
        <w:t xml:space="preserve"> mild cognitive impairment</w:t>
      </w:r>
      <w:r w:rsidR="001448E1" w:rsidRPr="001448E1">
        <w:rPr>
          <w:lang w:val="en-US"/>
        </w:rPr>
        <w:t>;</w:t>
      </w:r>
      <w:r w:rsidRPr="001448E1">
        <w:rPr>
          <w:lang w:val="en-US"/>
        </w:rPr>
        <w:t xml:space="preserve"> AD</w:t>
      </w:r>
      <w:r w:rsidR="001448E1" w:rsidRPr="001448E1">
        <w:rPr>
          <w:lang w:val="en-US"/>
        </w:rPr>
        <w:t xml:space="preserve">, Alzheimer’s disease; FTD, frontotemporal dementia; DLB, dementia with Lewy bodies; </w:t>
      </w:r>
      <w:r w:rsidR="00293BA2" w:rsidRPr="001448E1">
        <w:rPr>
          <w:vertAlign w:val="superscript"/>
          <w:lang w:val="en-US"/>
        </w:rPr>
        <w:t>18</w:t>
      </w:r>
      <w:r w:rsidR="00293BA2" w:rsidRPr="001448E1">
        <w:rPr>
          <w:lang w:val="en-US"/>
        </w:rPr>
        <w:t>F-FDG PET</w:t>
      </w:r>
      <w:r w:rsidR="001448E1" w:rsidRPr="001448E1">
        <w:rPr>
          <w:lang w:val="en-US"/>
        </w:rPr>
        <w:t>,</w:t>
      </w:r>
      <w:r w:rsidRPr="001448E1">
        <w:rPr>
          <w:lang w:val="en-US"/>
        </w:rPr>
        <w:t xml:space="preserve"> </w:t>
      </w:r>
      <w:r w:rsidR="00EB1475" w:rsidRPr="001448E1">
        <w:rPr>
          <w:rFonts w:cs="Arial"/>
          <w:lang w:val="en-US"/>
        </w:rPr>
        <w:t>Fluorine-18-2-fluoro-2-deoxy-D-glucose positron emission tomography</w:t>
      </w:r>
      <w:r w:rsidR="001448E1" w:rsidRPr="001448E1">
        <w:rPr>
          <w:rFonts w:cs="Arial"/>
          <w:lang w:val="en-US"/>
        </w:rPr>
        <w:t>;</w:t>
      </w:r>
      <w:r w:rsidR="005F4F02" w:rsidRPr="001448E1">
        <w:rPr>
          <w:lang w:val="en-US"/>
        </w:rPr>
        <w:t xml:space="preserve"> ApoE</w:t>
      </w:r>
      <w:r w:rsidR="001448E1" w:rsidRPr="001448E1">
        <w:rPr>
          <w:lang w:val="en-US"/>
        </w:rPr>
        <w:t>,</w:t>
      </w:r>
      <w:r w:rsidR="005F4F02" w:rsidRPr="001448E1">
        <w:rPr>
          <w:rFonts w:ascii="Arial" w:hAnsi="Arial" w:cs="Arial"/>
          <w:sz w:val="20"/>
          <w:szCs w:val="20"/>
          <w:lang w:val="en-US"/>
        </w:rPr>
        <w:t xml:space="preserve"> </w:t>
      </w:r>
      <w:r w:rsidR="005F4F02" w:rsidRPr="001448E1">
        <w:rPr>
          <w:rStyle w:val="Strong"/>
          <w:rFonts w:cs="Arial"/>
          <w:b w:val="0"/>
          <w:lang w:val="en-US"/>
        </w:rPr>
        <w:t>apolipoprotein E</w:t>
      </w:r>
      <w:r w:rsidR="001448E1" w:rsidRPr="001448E1">
        <w:rPr>
          <w:rStyle w:val="Strong"/>
          <w:rFonts w:cs="Arial"/>
          <w:b w:val="0"/>
          <w:lang w:val="en-US"/>
        </w:rPr>
        <w:t>;</w:t>
      </w:r>
      <w:r w:rsidR="00293BA2" w:rsidRPr="001448E1">
        <w:rPr>
          <w:lang w:val="en-US"/>
        </w:rPr>
        <w:t xml:space="preserve"> </w:t>
      </w:r>
      <w:r w:rsidR="00A2349A" w:rsidRPr="001448E1">
        <w:rPr>
          <w:lang w:val="en-US"/>
        </w:rPr>
        <w:t>MMS</w:t>
      </w:r>
      <w:r w:rsidRPr="001448E1">
        <w:rPr>
          <w:lang w:val="en-US"/>
        </w:rPr>
        <w:t xml:space="preserve">E, </w:t>
      </w:r>
      <w:r w:rsidR="001448E1" w:rsidRPr="001448E1">
        <w:rPr>
          <w:lang w:val="en-US"/>
        </w:rPr>
        <w:t>Mini-Mental State Examination;</w:t>
      </w:r>
      <w:r w:rsidRPr="001448E1">
        <w:rPr>
          <w:lang w:val="en-US"/>
        </w:rPr>
        <w:t xml:space="preserve"> TP</w:t>
      </w:r>
      <w:r w:rsidR="001448E1" w:rsidRPr="001448E1">
        <w:rPr>
          <w:lang w:val="en-US"/>
        </w:rPr>
        <w:t>,</w:t>
      </w:r>
      <w:r w:rsidRPr="001448E1">
        <w:rPr>
          <w:lang w:val="en-US"/>
        </w:rPr>
        <w:t xml:space="preserve"> true positive</w:t>
      </w:r>
      <w:r w:rsidR="001448E1" w:rsidRPr="001448E1">
        <w:rPr>
          <w:lang w:val="en-US"/>
        </w:rPr>
        <w:t>;</w:t>
      </w:r>
      <w:r w:rsidRPr="001448E1">
        <w:rPr>
          <w:lang w:val="en-US"/>
        </w:rPr>
        <w:t xml:space="preserve"> FP</w:t>
      </w:r>
      <w:r w:rsidR="001448E1" w:rsidRPr="001448E1">
        <w:rPr>
          <w:lang w:val="en-US"/>
        </w:rPr>
        <w:t>,</w:t>
      </w:r>
      <w:r w:rsidRPr="001448E1">
        <w:rPr>
          <w:lang w:val="en-US"/>
        </w:rPr>
        <w:t xml:space="preserve"> false positive</w:t>
      </w:r>
      <w:r w:rsidR="001448E1" w:rsidRPr="001448E1">
        <w:rPr>
          <w:lang w:val="en-US"/>
        </w:rPr>
        <w:t xml:space="preserve">; </w:t>
      </w:r>
      <w:r w:rsidRPr="001448E1">
        <w:rPr>
          <w:lang w:val="en-US"/>
        </w:rPr>
        <w:t>FN</w:t>
      </w:r>
      <w:r w:rsidR="001448E1" w:rsidRPr="001448E1">
        <w:rPr>
          <w:lang w:val="en-US"/>
        </w:rPr>
        <w:t>,</w:t>
      </w:r>
      <w:r w:rsidRPr="001448E1">
        <w:rPr>
          <w:lang w:val="en-US"/>
        </w:rPr>
        <w:t xml:space="preserve"> </w:t>
      </w:r>
      <w:r w:rsidR="00A2349A" w:rsidRPr="001448E1">
        <w:rPr>
          <w:lang w:val="en-US"/>
        </w:rPr>
        <w:t>false negati</w:t>
      </w:r>
      <w:r w:rsidR="001448E1" w:rsidRPr="001448E1">
        <w:rPr>
          <w:lang w:val="en-US"/>
        </w:rPr>
        <w:t>ve;</w:t>
      </w:r>
      <w:r w:rsidRPr="001448E1">
        <w:rPr>
          <w:lang w:val="en-US"/>
        </w:rPr>
        <w:t xml:space="preserve"> TN</w:t>
      </w:r>
      <w:r w:rsidR="001448E1" w:rsidRPr="001448E1">
        <w:rPr>
          <w:lang w:val="en-US"/>
        </w:rPr>
        <w:t>,</w:t>
      </w:r>
      <w:r w:rsidRPr="001448E1">
        <w:rPr>
          <w:lang w:val="en-US"/>
        </w:rPr>
        <w:t xml:space="preserve"> true negative</w:t>
      </w:r>
      <w:r w:rsidR="001448E1" w:rsidRPr="001448E1">
        <w:rPr>
          <w:lang w:val="en-US"/>
        </w:rPr>
        <w:t>;</w:t>
      </w:r>
      <w:r w:rsidRPr="001448E1">
        <w:rPr>
          <w:lang w:val="en-US"/>
        </w:rPr>
        <w:t xml:space="preserve"> PPV</w:t>
      </w:r>
      <w:r w:rsidR="001448E1" w:rsidRPr="001448E1">
        <w:rPr>
          <w:lang w:val="en-US"/>
        </w:rPr>
        <w:t>,</w:t>
      </w:r>
      <w:r w:rsidRPr="001448E1">
        <w:rPr>
          <w:lang w:val="en-US"/>
        </w:rPr>
        <w:t xml:space="preserve"> positive predictive value</w:t>
      </w:r>
      <w:r w:rsidR="001448E1" w:rsidRPr="001448E1">
        <w:rPr>
          <w:lang w:val="en-US"/>
        </w:rPr>
        <w:t>;</w:t>
      </w:r>
      <w:r w:rsidRPr="001448E1">
        <w:rPr>
          <w:lang w:val="en-US"/>
        </w:rPr>
        <w:t xml:space="preserve"> NPV</w:t>
      </w:r>
      <w:r w:rsidR="001448E1" w:rsidRPr="001448E1">
        <w:rPr>
          <w:lang w:val="en-US"/>
        </w:rPr>
        <w:t>, negative predictive value;</w:t>
      </w:r>
      <w:r w:rsidR="00A2349A" w:rsidRPr="001448E1">
        <w:rPr>
          <w:lang w:val="en-US"/>
        </w:rPr>
        <w:t xml:space="preserve"> RevMan</w:t>
      </w:r>
      <w:r w:rsidRPr="001448E1">
        <w:rPr>
          <w:lang w:val="en-US"/>
        </w:rPr>
        <w:t>5</w:t>
      </w:r>
      <w:r w:rsidR="001448E1" w:rsidRPr="001448E1">
        <w:rPr>
          <w:lang w:val="en-US"/>
        </w:rPr>
        <w:t>,</w:t>
      </w:r>
      <w:r w:rsidR="005F4F02" w:rsidRPr="001448E1">
        <w:rPr>
          <w:lang w:val="en-US"/>
        </w:rPr>
        <w:t xml:space="preserve"> </w:t>
      </w:r>
      <w:r w:rsidRPr="001448E1">
        <w:rPr>
          <w:rFonts w:ascii="Arial" w:hAnsi="Arial" w:cs="Arial"/>
          <w:sz w:val="20"/>
          <w:szCs w:val="20"/>
          <w:lang w:val="en-US"/>
        </w:rPr>
        <w:t>Review Manager Software</w:t>
      </w:r>
    </w:p>
    <w:p w14:paraId="2067EF43" w14:textId="77777777" w:rsidR="004B028A" w:rsidRPr="001448E1" w:rsidRDefault="004B028A" w:rsidP="004B028A">
      <w:pPr>
        <w:spacing w:line="240" w:lineRule="auto"/>
        <w:contextualSpacing/>
        <w:rPr>
          <w:lang w:val="en-US"/>
        </w:rPr>
      </w:pPr>
    </w:p>
    <w:p w14:paraId="4E52A86B" w14:textId="21A59FCB" w:rsidR="00331851" w:rsidRPr="001448E1" w:rsidRDefault="001448E1" w:rsidP="004B028A">
      <w:pPr>
        <w:spacing w:line="240" w:lineRule="auto"/>
        <w:contextualSpacing/>
        <w:rPr>
          <w:b/>
          <w:lang w:val="en-US"/>
        </w:rPr>
      </w:pPr>
      <w:r w:rsidRPr="001448E1">
        <w:rPr>
          <w:b/>
          <w:lang w:val="en-US"/>
        </w:rPr>
        <w:t>REFERENCES</w:t>
      </w:r>
    </w:p>
    <w:p w14:paraId="1E9851D4" w14:textId="77777777" w:rsidR="004C32D1" w:rsidRPr="001448E1" w:rsidRDefault="004C32D1" w:rsidP="004B028A">
      <w:pPr>
        <w:spacing w:line="240" w:lineRule="auto"/>
        <w:contextualSpacing/>
        <w:rPr>
          <w:rFonts w:eastAsia="Times New Roman" w:cs="Arial"/>
          <w:bCs/>
          <w:kern w:val="36"/>
          <w:lang w:val="en-US" w:eastAsia="en-GB"/>
        </w:rPr>
      </w:pPr>
      <w:r w:rsidRPr="001448E1">
        <w:rPr>
          <w:rFonts w:eastAsia="Times New Roman" w:cs="Arial"/>
          <w:bCs/>
          <w:kern w:val="36"/>
          <w:lang w:val="en-US" w:eastAsia="en-GB"/>
        </w:rPr>
        <w:t xml:space="preserve">Caminiti S, 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t>Ballarini T, Presotto L, et al.</w:t>
      </w:r>
      <w:r w:rsidRPr="001448E1">
        <w:rPr>
          <w:rFonts w:eastAsia="Times New Roman" w:cs="Arial"/>
          <w:bCs/>
          <w:kern w:val="36"/>
          <w:lang w:val="en-US" w:eastAsia="en-GB"/>
        </w:rPr>
        <w:t xml:space="preserve"> Comparison of molecular biomarkers for the prediction of conversion to dementia in a large mul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t xml:space="preserve">ticentric MCI cohort. </w:t>
      </w:r>
      <w:r w:rsidR="00E032EC" w:rsidRPr="001448E1">
        <w:rPr>
          <w:rFonts w:eastAsia="Times New Roman" w:cs="Arial"/>
          <w:bCs/>
          <w:i/>
          <w:kern w:val="36"/>
          <w:lang w:val="en-US" w:eastAsia="en-GB"/>
        </w:rPr>
        <w:t>J Alzheimers Dis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t xml:space="preserve"> </w:t>
      </w:r>
      <w:r w:rsidRPr="001448E1">
        <w:rPr>
          <w:rFonts w:eastAsia="Times New Roman" w:cs="Arial"/>
          <w:bCs/>
          <w:kern w:val="36"/>
          <w:lang w:val="en-US" w:eastAsia="en-GB"/>
        </w:rPr>
        <w:t>2016;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t xml:space="preserve"> </w:t>
      </w:r>
      <w:r w:rsidRPr="001448E1">
        <w:rPr>
          <w:rFonts w:eastAsia="Times New Roman" w:cs="Arial"/>
          <w:b/>
          <w:bCs/>
          <w:kern w:val="36"/>
          <w:lang w:val="en-US" w:eastAsia="en-GB"/>
        </w:rPr>
        <w:t>53: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t xml:space="preserve"> S18</w:t>
      </w:r>
      <w:r w:rsidR="00E032EC" w:rsidRPr="001448E1">
        <w:rPr>
          <w:lang w:val="en-US"/>
        </w:rPr>
        <w:t>–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softHyphen/>
        <w:t>1</w:t>
      </w:r>
      <w:r w:rsidRPr="001448E1">
        <w:rPr>
          <w:rFonts w:eastAsia="Times New Roman" w:cs="Arial"/>
          <w:bCs/>
          <w:kern w:val="36"/>
          <w:lang w:val="en-US" w:eastAsia="en-GB"/>
        </w:rPr>
        <w:t>9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t>.</w:t>
      </w:r>
    </w:p>
    <w:p w14:paraId="548803FC" w14:textId="77777777" w:rsidR="004C32D1" w:rsidRPr="001448E1" w:rsidRDefault="004C32D1" w:rsidP="004B028A">
      <w:pPr>
        <w:spacing w:line="240" w:lineRule="auto"/>
        <w:contextualSpacing/>
        <w:rPr>
          <w:rFonts w:eastAsia="Times New Roman" w:cs="Arial"/>
          <w:bCs/>
          <w:kern w:val="36"/>
          <w:lang w:val="en-US" w:eastAsia="en-GB"/>
        </w:rPr>
      </w:pPr>
    </w:p>
    <w:p w14:paraId="010DCFD0" w14:textId="77777777" w:rsidR="00331851" w:rsidRPr="001448E1" w:rsidRDefault="00331851" w:rsidP="004B028A">
      <w:pPr>
        <w:spacing w:line="240" w:lineRule="auto"/>
        <w:contextualSpacing/>
        <w:rPr>
          <w:rFonts w:eastAsia="Times New Roman" w:cs="Arial"/>
          <w:bCs/>
          <w:kern w:val="36"/>
          <w:lang w:val="en-US" w:eastAsia="en-GB"/>
        </w:rPr>
      </w:pPr>
      <w:r w:rsidRPr="001448E1">
        <w:rPr>
          <w:rFonts w:eastAsia="Times New Roman" w:cs="Arial"/>
          <w:bCs/>
          <w:kern w:val="36"/>
          <w:lang w:val="en-US" w:eastAsia="en-GB"/>
        </w:rPr>
        <w:t>Caroli A, Galluzzi S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t xml:space="preserve">, </w:t>
      </w:r>
      <w:r w:rsidR="00E032EC" w:rsidRPr="001448E1">
        <w:rPr>
          <w:rFonts w:cs="Arial"/>
          <w:color w:val="222222"/>
          <w:shd w:val="clear" w:color="auto" w:fill="FFFFFF"/>
          <w:lang w:val="en-US"/>
        </w:rPr>
        <w:t>Ferrari C,</w:t>
      </w:r>
      <w:r w:rsidRPr="001448E1">
        <w:rPr>
          <w:rFonts w:eastAsia="Times New Roman" w:cs="Arial"/>
          <w:bCs/>
          <w:kern w:val="36"/>
          <w:lang w:val="en-US" w:eastAsia="en-GB"/>
        </w:rPr>
        <w:t xml:space="preserve"> et al. Alzheimer’s disease core biomarkers and prediction of dementia in MCI: The effect of 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t xml:space="preserve">age at onset. </w:t>
      </w:r>
      <w:r w:rsidR="00E032EC" w:rsidRPr="001448E1">
        <w:rPr>
          <w:rFonts w:eastAsia="Times New Roman" w:cs="Arial"/>
          <w:bCs/>
          <w:i/>
          <w:kern w:val="36"/>
          <w:lang w:val="en-US" w:eastAsia="en-GB"/>
        </w:rPr>
        <w:t>Alzheimers Dement</w:t>
      </w:r>
      <w:r w:rsidRPr="001448E1">
        <w:rPr>
          <w:rFonts w:eastAsia="Times New Roman" w:cs="Arial"/>
          <w:bCs/>
          <w:kern w:val="36"/>
          <w:lang w:val="en-US" w:eastAsia="en-GB"/>
        </w:rPr>
        <w:t xml:space="preserve"> 2015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t xml:space="preserve">; </w:t>
      </w:r>
      <w:r w:rsidR="00E032EC" w:rsidRPr="001448E1">
        <w:rPr>
          <w:rFonts w:eastAsia="Times New Roman" w:cs="Arial"/>
          <w:b/>
          <w:bCs/>
          <w:kern w:val="36"/>
          <w:lang w:val="en-US" w:eastAsia="en-GB"/>
        </w:rPr>
        <w:t>11: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t xml:space="preserve"> 140</w:t>
      </w:r>
      <w:r w:rsidR="00E032EC" w:rsidRPr="001448E1">
        <w:rPr>
          <w:lang w:val="en-US"/>
        </w:rPr>
        <w:t>–</w:t>
      </w:r>
      <w:r w:rsidRPr="001448E1">
        <w:rPr>
          <w:rFonts w:eastAsia="Times New Roman" w:cs="Arial"/>
          <w:bCs/>
          <w:kern w:val="36"/>
          <w:lang w:val="en-US" w:eastAsia="en-GB"/>
        </w:rPr>
        <w:t>42</w:t>
      </w:r>
    </w:p>
    <w:p w14:paraId="09EA1C4F" w14:textId="77777777" w:rsidR="004B028A" w:rsidRPr="001448E1" w:rsidRDefault="004B028A" w:rsidP="004B028A">
      <w:pPr>
        <w:spacing w:line="240" w:lineRule="auto"/>
        <w:contextualSpacing/>
        <w:rPr>
          <w:rFonts w:eastAsia="Times New Roman" w:cs="Arial"/>
          <w:bCs/>
          <w:kern w:val="36"/>
          <w:lang w:val="en-US" w:eastAsia="en-GB"/>
        </w:rPr>
      </w:pPr>
    </w:p>
    <w:p w14:paraId="754CA996" w14:textId="77777777" w:rsidR="00331851" w:rsidRPr="001448E1" w:rsidRDefault="00331851" w:rsidP="004B028A">
      <w:pPr>
        <w:spacing w:line="240" w:lineRule="auto"/>
        <w:contextualSpacing/>
        <w:rPr>
          <w:rFonts w:eastAsia="Times New Roman" w:cs="Arial"/>
          <w:bCs/>
          <w:kern w:val="36"/>
          <w:lang w:val="en-US" w:eastAsia="en-GB"/>
        </w:rPr>
      </w:pPr>
      <w:r w:rsidRPr="001448E1">
        <w:rPr>
          <w:rFonts w:eastAsia="Times New Roman" w:cs="Arial"/>
          <w:bCs/>
          <w:kern w:val="36"/>
          <w:lang w:val="en-US" w:eastAsia="en-GB"/>
        </w:rPr>
        <w:t>Chen K</w:t>
      </w:r>
      <w:r w:rsidR="00E032EC" w:rsidRPr="001448E1">
        <w:rPr>
          <w:rFonts w:eastAsia="Times New Roman" w:cs="Arial"/>
          <w:bCs/>
          <w:kern w:val="36"/>
          <w:lang w:val="en-US" w:eastAsia="en-GB"/>
        </w:rPr>
        <w:t xml:space="preserve">, </w:t>
      </w:r>
      <w:r w:rsidR="00E032EC" w:rsidRPr="001448E1">
        <w:rPr>
          <w:rFonts w:cs="Arial"/>
          <w:color w:val="222222"/>
          <w:shd w:val="clear" w:color="auto" w:fill="FFFFFF"/>
          <w:lang w:val="en-US"/>
        </w:rPr>
        <w:t>Stonnington C, Ayutyanont N,</w:t>
      </w:r>
      <w:r w:rsidRPr="001448E1">
        <w:rPr>
          <w:rFonts w:eastAsia="Times New Roman" w:cs="Arial"/>
          <w:bCs/>
          <w:kern w:val="36"/>
          <w:lang w:val="en-US" w:eastAsia="en-GB"/>
        </w:rPr>
        <w:t xml:space="preserve"> et al. Baseline FDG-PET and volumetric MRI predicts Alzheimer’s disease conversion from mild cognitive impairment: A</w:t>
      </w:r>
      <w:r w:rsidR="000B2DFE" w:rsidRPr="001448E1">
        <w:rPr>
          <w:rFonts w:eastAsia="Times New Roman" w:cs="Arial"/>
          <w:bCs/>
          <w:kern w:val="36"/>
          <w:lang w:val="en-US" w:eastAsia="en-GB"/>
        </w:rPr>
        <w:t xml:space="preserve">n ADNI study. </w:t>
      </w:r>
      <w:r w:rsidR="000B2DFE" w:rsidRPr="001448E1">
        <w:rPr>
          <w:rFonts w:eastAsia="Times New Roman" w:cs="Arial"/>
          <w:bCs/>
          <w:i/>
          <w:kern w:val="36"/>
          <w:lang w:val="en-US" w:eastAsia="en-GB"/>
        </w:rPr>
        <w:t>Alzheimers Dement</w:t>
      </w:r>
      <w:r w:rsidRPr="001448E1">
        <w:rPr>
          <w:rFonts w:eastAsia="Times New Roman" w:cs="Arial"/>
          <w:bCs/>
          <w:kern w:val="36"/>
          <w:lang w:val="en-US" w:eastAsia="en-GB"/>
        </w:rPr>
        <w:t xml:space="preserve"> 2013;</w:t>
      </w:r>
      <w:r w:rsidR="000B2DFE" w:rsidRPr="001448E1">
        <w:rPr>
          <w:rFonts w:eastAsia="Times New Roman" w:cs="Arial"/>
          <w:bCs/>
          <w:kern w:val="36"/>
          <w:lang w:val="en-US" w:eastAsia="en-GB"/>
        </w:rPr>
        <w:t xml:space="preserve"> </w:t>
      </w:r>
      <w:r w:rsidR="000B2DFE" w:rsidRPr="001448E1">
        <w:rPr>
          <w:rFonts w:eastAsia="Times New Roman" w:cs="Arial"/>
          <w:b/>
          <w:bCs/>
          <w:kern w:val="36"/>
          <w:lang w:val="en-US" w:eastAsia="en-GB"/>
        </w:rPr>
        <w:t>9:</w:t>
      </w:r>
      <w:r w:rsidR="000B2DFE" w:rsidRPr="001448E1">
        <w:rPr>
          <w:rFonts w:eastAsia="Times New Roman" w:cs="Arial"/>
          <w:bCs/>
          <w:kern w:val="36"/>
          <w:lang w:val="en-US" w:eastAsia="en-GB"/>
        </w:rPr>
        <w:t xml:space="preserve"> </w:t>
      </w:r>
      <w:r w:rsidRPr="001448E1">
        <w:rPr>
          <w:rFonts w:eastAsia="Times New Roman" w:cs="Arial"/>
          <w:bCs/>
          <w:kern w:val="36"/>
          <w:lang w:val="en-US" w:eastAsia="en-GB"/>
        </w:rPr>
        <w:t>8444</w:t>
      </w:r>
      <w:r w:rsidR="000B2DFE" w:rsidRPr="001448E1">
        <w:rPr>
          <w:rFonts w:eastAsia="Times New Roman" w:cs="Arial"/>
          <w:bCs/>
          <w:kern w:val="36"/>
          <w:lang w:val="en-US" w:eastAsia="en-GB"/>
        </w:rPr>
        <w:t>.</w:t>
      </w:r>
    </w:p>
    <w:p w14:paraId="1912CF40" w14:textId="77777777" w:rsidR="004B028A" w:rsidRPr="001448E1" w:rsidRDefault="004B028A" w:rsidP="004B028A">
      <w:pPr>
        <w:spacing w:line="240" w:lineRule="auto"/>
        <w:contextualSpacing/>
        <w:rPr>
          <w:rFonts w:eastAsia="Times New Roman" w:cs="Arial"/>
          <w:bCs/>
          <w:kern w:val="36"/>
          <w:lang w:val="en-US" w:eastAsia="en-GB"/>
        </w:rPr>
      </w:pPr>
    </w:p>
    <w:p w14:paraId="01A58DC4" w14:textId="77777777" w:rsidR="00331851" w:rsidRPr="001448E1" w:rsidRDefault="000B2DFE" w:rsidP="004B028A">
      <w:pPr>
        <w:spacing w:line="240" w:lineRule="auto"/>
        <w:contextualSpacing/>
        <w:rPr>
          <w:rFonts w:eastAsia="Times New Roman" w:cs="Arial"/>
          <w:bCs/>
          <w:kern w:val="36"/>
          <w:lang w:val="en-US" w:eastAsia="en-GB"/>
        </w:rPr>
      </w:pPr>
      <w:r w:rsidRPr="001448E1">
        <w:rPr>
          <w:rFonts w:eastAsia="Times New Roman" w:cs="Arial"/>
          <w:bCs/>
          <w:kern w:val="36"/>
          <w:lang w:val="en-US" w:eastAsia="en-GB"/>
        </w:rPr>
        <w:lastRenderedPageBreak/>
        <w:t xml:space="preserve">Lee JY, </w:t>
      </w:r>
      <w:r w:rsidRPr="001448E1">
        <w:rPr>
          <w:rFonts w:cs="Arial"/>
          <w:color w:val="222222"/>
          <w:shd w:val="clear" w:color="auto" w:fill="FFFFFF"/>
          <w:lang w:val="en-US"/>
        </w:rPr>
        <w:t>Sohn BK, Kim YK, Lee DY. </w:t>
      </w:r>
      <w:r w:rsidR="00331851" w:rsidRPr="001448E1">
        <w:rPr>
          <w:rFonts w:eastAsia="Times New Roman" w:cs="Arial"/>
          <w:bCs/>
          <w:kern w:val="36"/>
          <w:lang w:val="en-US" w:eastAsia="en-GB"/>
        </w:rPr>
        <w:t>Prediction of conversion to Alzheimer’s disease in mild cognitive impairment: FDG PET analysis by an automatic computer-assisted system in comparison to visual evalua</w:t>
      </w:r>
      <w:r w:rsidRPr="001448E1">
        <w:rPr>
          <w:rFonts w:eastAsia="Times New Roman" w:cs="Arial"/>
          <w:bCs/>
          <w:kern w:val="36"/>
          <w:lang w:val="en-US" w:eastAsia="en-GB"/>
        </w:rPr>
        <w:t xml:space="preserve">tion rating. </w:t>
      </w:r>
      <w:r w:rsidRPr="001448E1">
        <w:rPr>
          <w:rFonts w:eastAsia="Times New Roman" w:cs="Arial"/>
          <w:bCs/>
          <w:i/>
          <w:kern w:val="36"/>
          <w:lang w:val="en-US" w:eastAsia="en-GB"/>
        </w:rPr>
        <w:t>Alzheimers Dement</w:t>
      </w:r>
      <w:r w:rsidRPr="001448E1">
        <w:rPr>
          <w:rFonts w:eastAsia="Times New Roman" w:cs="Arial"/>
          <w:bCs/>
          <w:kern w:val="36"/>
          <w:lang w:val="en-US" w:eastAsia="en-GB"/>
        </w:rPr>
        <w:t xml:space="preserve"> 2014</w:t>
      </w:r>
      <w:r w:rsidR="00331851" w:rsidRPr="001448E1">
        <w:rPr>
          <w:rFonts w:eastAsia="Times New Roman" w:cs="Arial"/>
          <w:bCs/>
          <w:kern w:val="36"/>
          <w:lang w:val="en-US" w:eastAsia="en-GB"/>
        </w:rPr>
        <w:t>;</w:t>
      </w:r>
      <w:r w:rsidRPr="001448E1">
        <w:rPr>
          <w:rFonts w:eastAsia="Times New Roman" w:cs="Arial"/>
          <w:bCs/>
          <w:kern w:val="36"/>
          <w:lang w:val="en-US" w:eastAsia="en-GB"/>
        </w:rPr>
        <w:t xml:space="preserve"> </w:t>
      </w:r>
      <w:r w:rsidR="00331851" w:rsidRPr="001448E1">
        <w:rPr>
          <w:rFonts w:eastAsia="Times New Roman" w:cs="Arial"/>
          <w:b/>
          <w:bCs/>
          <w:kern w:val="36"/>
          <w:lang w:val="en-US" w:eastAsia="en-GB"/>
        </w:rPr>
        <w:t>10:</w:t>
      </w:r>
      <w:r w:rsidRPr="001448E1">
        <w:rPr>
          <w:rFonts w:eastAsia="Times New Roman" w:cs="Arial"/>
          <w:bCs/>
          <w:kern w:val="36"/>
          <w:lang w:val="en-US" w:eastAsia="en-GB"/>
        </w:rPr>
        <w:t xml:space="preserve"> </w:t>
      </w:r>
      <w:r w:rsidR="00331851" w:rsidRPr="001448E1">
        <w:rPr>
          <w:rFonts w:eastAsia="Times New Roman" w:cs="Arial"/>
          <w:bCs/>
          <w:kern w:val="36"/>
          <w:lang w:val="en-US" w:eastAsia="en-GB"/>
        </w:rPr>
        <w:t>406</w:t>
      </w:r>
      <w:r w:rsidRPr="001448E1">
        <w:rPr>
          <w:rFonts w:eastAsia="Times New Roman" w:cs="Arial"/>
          <w:bCs/>
          <w:kern w:val="36"/>
          <w:lang w:val="en-US" w:eastAsia="en-GB"/>
        </w:rPr>
        <w:t>.</w:t>
      </w:r>
    </w:p>
    <w:p w14:paraId="473C3E91" w14:textId="77777777" w:rsidR="00331851" w:rsidRPr="001448E1" w:rsidRDefault="004B64DB" w:rsidP="004B028A">
      <w:pPr>
        <w:tabs>
          <w:tab w:val="left" w:pos="8857"/>
        </w:tabs>
        <w:spacing w:line="240" w:lineRule="auto"/>
        <w:contextualSpacing/>
        <w:rPr>
          <w:lang w:val="en-US"/>
        </w:rPr>
      </w:pPr>
      <w:r w:rsidRPr="001448E1">
        <w:rPr>
          <w:lang w:val="en-US"/>
        </w:rPr>
        <w:tab/>
      </w:r>
    </w:p>
    <w:sectPr w:rsidR="00331851" w:rsidRPr="001448E1" w:rsidSect="00A57E57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B735C" w14:textId="77777777" w:rsidR="00651D07" w:rsidRDefault="00651D07" w:rsidP="004B64DB">
      <w:pPr>
        <w:spacing w:after="0" w:line="240" w:lineRule="auto"/>
      </w:pPr>
      <w:r>
        <w:separator/>
      </w:r>
    </w:p>
  </w:endnote>
  <w:endnote w:type="continuationSeparator" w:id="0">
    <w:p w14:paraId="735B8247" w14:textId="77777777" w:rsidR="00651D07" w:rsidRDefault="00651D07" w:rsidP="004B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vTT3713a231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78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8F4E2" w14:textId="5DB6FE75" w:rsidR="004B64DB" w:rsidRDefault="004B64DB" w:rsidP="001448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6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F7973" w14:textId="77777777" w:rsidR="00651D07" w:rsidRDefault="00651D07" w:rsidP="004B64DB">
      <w:pPr>
        <w:spacing w:after="0" w:line="240" w:lineRule="auto"/>
      </w:pPr>
      <w:r>
        <w:separator/>
      </w:r>
    </w:p>
  </w:footnote>
  <w:footnote w:type="continuationSeparator" w:id="0">
    <w:p w14:paraId="7856AAF4" w14:textId="77777777" w:rsidR="00651D07" w:rsidRDefault="00651D07" w:rsidP="004B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646F6"/>
    <w:multiLevelType w:val="hybridMultilevel"/>
    <w:tmpl w:val="18303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E57"/>
    <w:rsid w:val="00074F05"/>
    <w:rsid w:val="000B2DFE"/>
    <w:rsid w:val="001448E1"/>
    <w:rsid w:val="0016502D"/>
    <w:rsid w:val="001A560C"/>
    <w:rsid w:val="001F2B94"/>
    <w:rsid w:val="002028C2"/>
    <w:rsid w:val="0025163B"/>
    <w:rsid w:val="00293BA2"/>
    <w:rsid w:val="002C09C8"/>
    <w:rsid w:val="003231ED"/>
    <w:rsid w:val="00331851"/>
    <w:rsid w:val="00365097"/>
    <w:rsid w:val="003969B9"/>
    <w:rsid w:val="003B0D33"/>
    <w:rsid w:val="003B0F7F"/>
    <w:rsid w:val="00443A1A"/>
    <w:rsid w:val="00455F47"/>
    <w:rsid w:val="004B028A"/>
    <w:rsid w:val="004B64DB"/>
    <w:rsid w:val="004C32D1"/>
    <w:rsid w:val="004D3716"/>
    <w:rsid w:val="004F6EE5"/>
    <w:rsid w:val="00502CC9"/>
    <w:rsid w:val="00556509"/>
    <w:rsid w:val="0057489F"/>
    <w:rsid w:val="005E37EA"/>
    <w:rsid w:val="005F4F02"/>
    <w:rsid w:val="00611535"/>
    <w:rsid w:val="006252B0"/>
    <w:rsid w:val="006330EF"/>
    <w:rsid w:val="00651D07"/>
    <w:rsid w:val="007B182B"/>
    <w:rsid w:val="008540B8"/>
    <w:rsid w:val="00925A49"/>
    <w:rsid w:val="009408C6"/>
    <w:rsid w:val="0096048F"/>
    <w:rsid w:val="00A2349A"/>
    <w:rsid w:val="00A5263B"/>
    <w:rsid w:val="00A57E57"/>
    <w:rsid w:val="00AB1FDA"/>
    <w:rsid w:val="00C24296"/>
    <w:rsid w:val="00C24BA3"/>
    <w:rsid w:val="00C3158D"/>
    <w:rsid w:val="00CC0394"/>
    <w:rsid w:val="00CE3CB7"/>
    <w:rsid w:val="00E032EC"/>
    <w:rsid w:val="00E5431F"/>
    <w:rsid w:val="00E85594"/>
    <w:rsid w:val="00EB1475"/>
    <w:rsid w:val="00EC1282"/>
    <w:rsid w:val="00F5515F"/>
    <w:rsid w:val="00F64111"/>
    <w:rsid w:val="00F953F2"/>
    <w:rsid w:val="00FB39E0"/>
    <w:rsid w:val="00FD229C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031C"/>
  <w15:docId w15:val="{A230A59D-127A-0D40-98E3-D4029EDB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E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1851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4DB"/>
  </w:style>
  <w:style w:type="paragraph" w:styleId="Footer">
    <w:name w:val="footer"/>
    <w:basedOn w:val="Normal"/>
    <w:link w:val="FooterChar"/>
    <w:uiPriority w:val="99"/>
    <w:unhideWhenUsed/>
    <w:rsid w:val="004B6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4DB"/>
  </w:style>
  <w:style w:type="character" w:styleId="Strong">
    <w:name w:val="Strong"/>
    <w:basedOn w:val="DefaultParagraphFont"/>
    <w:uiPriority w:val="22"/>
    <w:qFormat/>
    <w:rsid w:val="005F4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67B2-D73D-B245-8F4C-787D6E4F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Smailagic</dc:creator>
  <cp:lastModifiedBy>Beth Kumar</cp:lastModifiedBy>
  <cp:revision>5</cp:revision>
  <cp:lastPrinted>2016-04-21T15:01:00Z</cp:lastPrinted>
  <dcterms:created xsi:type="dcterms:W3CDTF">2018-04-26T10:58:00Z</dcterms:created>
  <dcterms:modified xsi:type="dcterms:W3CDTF">2018-06-07T15:08:00Z</dcterms:modified>
</cp:coreProperties>
</file>