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89" w:rsidRDefault="007173C1" w:rsidP="007173C1">
      <w:pPr>
        <w:tabs>
          <w:tab w:val="left" w:pos="360"/>
        </w:tabs>
        <w:spacing w:before="0" w:line="240" w:lineRule="auto"/>
        <w:rPr>
          <w:b/>
          <w:sz w:val="40"/>
          <w:szCs w:val="40"/>
        </w:rPr>
      </w:pPr>
      <w:bookmarkStart w:id="0" w:name="_GoBack"/>
      <w:bookmarkEnd w:id="0"/>
      <w:r w:rsidRPr="007173C1">
        <w:rPr>
          <w:b/>
          <w:sz w:val="40"/>
          <w:szCs w:val="40"/>
        </w:rPr>
        <w:t>Supplementary Material</w:t>
      </w:r>
    </w:p>
    <w:p w:rsidR="007173C1" w:rsidRDefault="007173C1" w:rsidP="007173C1">
      <w:pPr>
        <w:tabs>
          <w:tab w:val="left" w:pos="360"/>
        </w:tabs>
        <w:spacing w:before="0" w:line="240" w:lineRule="auto"/>
        <w:rPr>
          <w:b/>
          <w:sz w:val="40"/>
          <w:szCs w:val="40"/>
        </w:rPr>
      </w:pPr>
    </w:p>
    <w:p w:rsidR="007173C1" w:rsidRPr="007173C1" w:rsidRDefault="007173C1" w:rsidP="007173C1">
      <w:pPr>
        <w:tabs>
          <w:tab w:val="left" w:pos="360"/>
        </w:tabs>
        <w:spacing w:before="0" w:line="240" w:lineRule="auto"/>
        <w:rPr>
          <w:b/>
          <w:sz w:val="40"/>
          <w:szCs w:val="40"/>
          <w:highlight w:val="yellow"/>
        </w:rPr>
      </w:pPr>
      <w:bookmarkStart w:id="1" w:name="_Toc488396373"/>
      <w:proofErr w:type="gramStart"/>
      <w:r w:rsidRPr="007173C1">
        <w:rPr>
          <w:b/>
          <w:szCs w:val="24"/>
        </w:rPr>
        <w:t>Supplementary Table 1.</w:t>
      </w:r>
      <w:proofErr w:type="gramEnd"/>
      <w:r w:rsidRPr="00637448">
        <w:rPr>
          <w:b/>
          <w:szCs w:val="24"/>
        </w:rPr>
        <w:t xml:space="preserve"> </w:t>
      </w:r>
      <w:r w:rsidRPr="00637448">
        <w:rPr>
          <w:szCs w:val="24"/>
        </w:rPr>
        <w:t>ADAS-Cog 11 responsiveness to group-level between-person differences in observed level of disease severity based on exposure status.</w:t>
      </w:r>
      <w:bookmarkEnd w:id="1"/>
    </w:p>
    <w:p w:rsidR="00F919DE" w:rsidRPr="00637448" w:rsidRDefault="00F919DE" w:rsidP="007173C1">
      <w:pPr>
        <w:tabs>
          <w:tab w:val="left" w:pos="360"/>
        </w:tabs>
        <w:spacing w:before="0" w:line="240" w:lineRule="auto"/>
        <w:rPr>
          <w:b/>
          <w:szCs w:val="24"/>
          <w:highlight w:val="yellow"/>
          <w:u w:val="single"/>
        </w:rPr>
      </w:pPr>
    </w:p>
    <w:tbl>
      <w:tblPr>
        <w:tblpPr w:leftFromText="180" w:rightFromText="180" w:vertAnchor="text" w:tblpY="1"/>
        <w:tblOverlap w:val="never"/>
        <w:tblW w:w="936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363"/>
      </w:tblGrid>
      <w:tr w:rsidR="00C106EC" w:rsidRPr="00637448" w:rsidTr="007173C1">
        <w:trPr>
          <w:trHeight w:val="302"/>
        </w:trPr>
        <w:tc>
          <w:tcPr>
            <w:tcW w:w="9363" w:type="dxa"/>
            <w:shd w:val="clear" w:color="auto" w:fill="auto"/>
          </w:tcPr>
          <w:p w:rsidR="000F1C5C" w:rsidRPr="00637448" w:rsidRDefault="000F1C5C" w:rsidP="007173C1">
            <w:pPr>
              <w:tabs>
                <w:tab w:val="left" w:pos="360"/>
              </w:tabs>
              <w:spacing w:before="0" w:line="240" w:lineRule="auto"/>
              <w:rPr>
                <w:color w:val="000000"/>
                <w:szCs w:val="24"/>
              </w:rPr>
            </w:pPr>
            <w:r w:rsidRPr="00637448">
              <w:rPr>
                <w:color w:val="000000"/>
                <w:szCs w:val="24"/>
              </w:rPr>
              <w:t xml:space="preserve">[Reference #] Population (sample size) Exposure </w:t>
            </w:r>
          </w:p>
        </w:tc>
      </w:tr>
      <w:tr w:rsidR="00C106EC" w:rsidRPr="00637448" w:rsidTr="007173C1">
        <w:trPr>
          <w:trHeight w:val="302"/>
        </w:trPr>
        <w:tc>
          <w:tcPr>
            <w:tcW w:w="9363" w:type="dxa"/>
            <w:shd w:val="clear" w:color="auto" w:fill="AEAAAA" w:themeFill="background2" w:themeFillShade="BF"/>
          </w:tcPr>
          <w:p w:rsidR="00E73756" w:rsidRPr="007173C1" w:rsidRDefault="00C106EC" w:rsidP="007173C1">
            <w:pPr>
              <w:tabs>
                <w:tab w:val="left" w:pos="360"/>
              </w:tabs>
              <w:spacing w:before="0" w:line="240" w:lineRule="auto"/>
              <w:rPr>
                <w:b/>
                <w:szCs w:val="24"/>
              </w:rPr>
            </w:pPr>
            <w:r w:rsidRPr="00637448">
              <w:rPr>
                <w:b/>
                <w:szCs w:val="24"/>
              </w:rPr>
              <w:t>Statistically significant result for test of association between exposure and ADAS-Cog-11</w:t>
            </w:r>
          </w:p>
        </w:tc>
      </w:tr>
      <w:tr w:rsidR="00C106EC" w:rsidRPr="00637448" w:rsidTr="007173C1">
        <w:trPr>
          <w:trHeight w:val="302"/>
        </w:trPr>
        <w:tc>
          <w:tcPr>
            <w:tcW w:w="9363" w:type="dxa"/>
            <w:shd w:val="clear" w:color="auto" w:fill="auto"/>
          </w:tcPr>
          <w:p w:rsidR="0064018F" w:rsidRPr="00637448" w:rsidRDefault="0064018F"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6</w:t>
            </w:r>
            <w:r w:rsidRPr="00637448">
              <w:rPr>
                <w:color w:val="000000"/>
                <w:szCs w:val="24"/>
              </w:rPr>
              <w:t>]</w:t>
            </w:r>
            <w:r w:rsidR="000F1C5C" w:rsidRPr="00637448">
              <w:rPr>
                <w:color w:val="000000"/>
                <w:szCs w:val="24"/>
              </w:rPr>
              <w:t xml:space="preserve"> NC (229) </w:t>
            </w:r>
            <w:r w:rsidRPr="00637448">
              <w:rPr>
                <w:color w:val="000000"/>
                <w:szCs w:val="24"/>
              </w:rPr>
              <w:t>Fish Oil Supplement v</w:t>
            </w:r>
            <w:r w:rsidR="007173C1">
              <w:rPr>
                <w:color w:val="000000"/>
                <w:szCs w:val="24"/>
              </w:rPr>
              <w:t>ersus</w:t>
            </w:r>
            <w:r w:rsidRPr="00637448">
              <w:rPr>
                <w:color w:val="000000"/>
                <w:szCs w:val="24"/>
              </w:rPr>
              <w:t xml:space="preserve"> None* </w:t>
            </w:r>
          </w:p>
        </w:tc>
      </w:tr>
      <w:tr w:rsidR="00C106EC" w:rsidRPr="00637448" w:rsidTr="007173C1">
        <w:trPr>
          <w:trHeight w:val="302"/>
        </w:trPr>
        <w:tc>
          <w:tcPr>
            <w:tcW w:w="9363" w:type="dxa"/>
            <w:shd w:val="clear" w:color="auto" w:fill="auto"/>
          </w:tcPr>
          <w:p w:rsidR="00957AFC" w:rsidRPr="00637448" w:rsidRDefault="00957AFC" w:rsidP="007173C1">
            <w:pPr>
              <w:tabs>
                <w:tab w:val="left" w:pos="360"/>
              </w:tabs>
              <w:spacing w:before="0" w:line="240" w:lineRule="auto"/>
              <w:rPr>
                <w:color w:val="000000"/>
                <w:szCs w:val="24"/>
              </w:rPr>
            </w:pPr>
            <w:r w:rsidRPr="00637448">
              <w:rPr>
                <w:color w:val="000000"/>
                <w:szCs w:val="24"/>
              </w:rPr>
              <w:t>[26]</w:t>
            </w:r>
            <w:r w:rsidR="000F1C5C" w:rsidRPr="00637448">
              <w:rPr>
                <w:color w:val="000000"/>
                <w:szCs w:val="24"/>
              </w:rPr>
              <w:t xml:space="preserve"> NC (229)</w:t>
            </w:r>
            <w:r w:rsidRPr="00637448">
              <w:rPr>
                <w:color w:val="000000"/>
                <w:szCs w:val="24"/>
              </w:rPr>
              <w:t xml:space="preserve"> Aβ </w:t>
            </w:r>
          </w:p>
        </w:tc>
      </w:tr>
      <w:tr w:rsidR="00C106EC" w:rsidRPr="00637448" w:rsidTr="007173C1">
        <w:trPr>
          <w:trHeight w:val="302"/>
        </w:trPr>
        <w:tc>
          <w:tcPr>
            <w:tcW w:w="9363" w:type="dxa"/>
            <w:shd w:val="clear" w:color="auto" w:fill="auto"/>
          </w:tcPr>
          <w:p w:rsidR="000F1C5C" w:rsidRPr="00637448" w:rsidRDefault="002322FC"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5</w:t>
            </w:r>
            <w:r w:rsidRPr="00637448">
              <w:rPr>
                <w:color w:val="000000"/>
                <w:szCs w:val="24"/>
              </w:rPr>
              <w:t>] MCI (394) Hippocampal Volume*</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5</w:t>
            </w:r>
            <w:r w:rsidRPr="00637448">
              <w:rPr>
                <w:color w:val="000000"/>
                <w:szCs w:val="24"/>
              </w:rPr>
              <w:t xml:space="preserve">] MCI (394) </w:t>
            </w:r>
            <w:proofErr w:type="spellStart"/>
            <w:r w:rsidRPr="00637448">
              <w:rPr>
                <w:color w:val="000000"/>
                <w:szCs w:val="24"/>
              </w:rPr>
              <w:t>Entorhinal</w:t>
            </w:r>
            <w:proofErr w:type="spellEnd"/>
            <w:r w:rsidRPr="00637448">
              <w:rPr>
                <w:color w:val="000000"/>
                <w:szCs w:val="24"/>
              </w:rPr>
              <w:t xml:space="preserve"> Thickness*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5</w:t>
            </w:r>
            <w:r w:rsidRPr="00637448">
              <w:rPr>
                <w:color w:val="000000"/>
                <w:szCs w:val="24"/>
              </w:rPr>
              <w:t>] MCI (394) Fusiform Thickness*</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w:t>
            </w:r>
            <w:r w:rsidR="00D62F92" w:rsidRPr="00637448">
              <w:rPr>
                <w:color w:val="000000"/>
                <w:szCs w:val="24"/>
              </w:rPr>
              <w:t>40</w:t>
            </w:r>
            <w:r w:rsidRPr="00637448">
              <w:rPr>
                <w:color w:val="000000"/>
                <w:szCs w:val="24"/>
              </w:rPr>
              <w:t xml:space="preserve">] MCI (198) Aβ </w:t>
            </w:r>
            <w:r w:rsidR="007173C1">
              <w:rPr>
                <w:color w:val="000000"/>
                <w:szCs w:val="24"/>
              </w:rPr>
              <w:sym w:font="Symbol" w:char="F0A3"/>
            </w:r>
            <w:r w:rsidR="007173C1">
              <w:rPr>
                <w:color w:val="000000"/>
                <w:szCs w:val="24"/>
              </w:rPr>
              <w:t xml:space="preserve"> </w:t>
            </w:r>
            <w:r w:rsidRPr="00637448">
              <w:rPr>
                <w:color w:val="000000"/>
                <w:szCs w:val="24"/>
              </w:rPr>
              <w:t>v</w:t>
            </w:r>
            <w:r w:rsidR="007173C1">
              <w:rPr>
                <w:color w:val="000000"/>
                <w:szCs w:val="24"/>
              </w:rPr>
              <w:t>ersus</w:t>
            </w:r>
            <w:r w:rsidRPr="00637448">
              <w:rPr>
                <w:color w:val="000000"/>
                <w:szCs w:val="24"/>
              </w:rPr>
              <w:t xml:space="preserve"> &gt; 192 </w:t>
            </w:r>
            <w:proofErr w:type="spellStart"/>
            <w:r w:rsidRPr="00637448">
              <w:rPr>
                <w:color w:val="000000"/>
                <w:szCs w:val="24"/>
              </w:rPr>
              <w:t>pG</w:t>
            </w:r>
            <w:proofErr w:type="spellEnd"/>
            <w:r w:rsidRPr="00637448">
              <w:rPr>
                <w:color w:val="000000"/>
                <w:szCs w:val="24"/>
              </w:rPr>
              <w:t>/mL</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w:t>
            </w:r>
            <w:r w:rsidR="00D62F92" w:rsidRPr="00637448">
              <w:rPr>
                <w:color w:val="000000"/>
                <w:szCs w:val="24"/>
              </w:rPr>
              <w:t>40</w:t>
            </w:r>
            <w:r w:rsidRPr="00637448">
              <w:rPr>
                <w:color w:val="000000"/>
                <w:szCs w:val="24"/>
              </w:rPr>
              <w:t>] MCI (198) t-Tau/Aβ &gt; v</w:t>
            </w:r>
            <w:r w:rsidR="007173C1">
              <w:rPr>
                <w:color w:val="000000"/>
                <w:szCs w:val="24"/>
              </w:rPr>
              <w:t>ersus</w:t>
            </w:r>
            <w:r w:rsidRPr="00637448">
              <w:rPr>
                <w:color w:val="000000"/>
                <w:szCs w:val="24"/>
              </w:rPr>
              <w:t xml:space="preserve"> </w:t>
            </w:r>
            <w:r w:rsidR="007173C1">
              <w:rPr>
                <w:color w:val="000000"/>
                <w:szCs w:val="24"/>
              </w:rPr>
              <w:sym w:font="Symbol" w:char="F0A3"/>
            </w:r>
            <w:r w:rsidR="007173C1">
              <w:rPr>
                <w:color w:val="000000"/>
                <w:szCs w:val="24"/>
              </w:rPr>
              <w:t xml:space="preserve"> </w:t>
            </w:r>
            <w:r w:rsidRPr="00637448">
              <w:rPr>
                <w:color w:val="000000"/>
                <w:szCs w:val="24"/>
              </w:rPr>
              <w:t xml:space="preserve">0.39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w:t>
            </w:r>
            <w:r w:rsidR="00D62F92" w:rsidRPr="00637448">
              <w:rPr>
                <w:color w:val="000000"/>
                <w:szCs w:val="24"/>
              </w:rPr>
              <w:t>41</w:t>
            </w:r>
            <w:r w:rsidRPr="00637448">
              <w:rPr>
                <w:color w:val="000000"/>
                <w:szCs w:val="24"/>
              </w:rPr>
              <w:t>] MCI (1192) APOE</w:t>
            </w:r>
            <w:r w:rsidR="007173C1">
              <w:rPr>
                <w:color w:val="000000"/>
                <w:szCs w:val="24"/>
              </w:rPr>
              <w:t xml:space="preserve"> </w:t>
            </w:r>
            <w:r w:rsidR="007173C1">
              <w:rPr>
                <w:color w:val="000000"/>
                <w:szCs w:val="24"/>
              </w:rPr>
              <w:sym w:font="Symbol" w:char="F065"/>
            </w:r>
            <w:r w:rsidRPr="00637448">
              <w:rPr>
                <w:color w:val="000000"/>
                <w:szCs w:val="24"/>
              </w:rPr>
              <w:t>4 allele Carrier v</w:t>
            </w:r>
            <w:r w:rsidR="007173C1">
              <w:rPr>
                <w:color w:val="000000"/>
                <w:szCs w:val="24"/>
              </w:rPr>
              <w:t>ersus</w:t>
            </w:r>
            <w:r w:rsidRPr="00637448">
              <w:rPr>
                <w:color w:val="000000"/>
                <w:szCs w:val="24"/>
              </w:rPr>
              <w:t xml:space="preserve"> Non-Carrier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2</w:t>
            </w:r>
            <w:r w:rsidRPr="00637448">
              <w:rPr>
                <w:color w:val="000000"/>
                <w:szCs w:val="24"/>
              </w:rPr>
              <w:t>] MCI</w:t>
            </w:r>
            <w:r w:rsidR="007173C1">
              <w:rPr>
                <w:color w:val="000000"/>
                <w:szCs w:val="24"/>
              </w:rPr>
              <w:t xml:space="preserve"> (1171) APOE </w:t>
            </w:r>
            <w:r w:rsidR="007173C1">
              <w:rPr>
                <w:color w:val="000000"/>
                <w:szCs w:val="24"/>
              </w:rPr>
              <w:sym w:font="Symbol" w:char="F065"/>
            </w:r>
            <w:r w:rsidR="007173C1">
              <w:rPr>
                <w:color w:val="000000"/>
                <w:szCs w:val="24"/>
              </w:rPr>
              <w:t>4 allele Carrier versus</w:t>
            </w:r>
            <w:r w:rsidRPr="00637448">
              <w:rPr>
                <w:color w:val="000000"/>
                <w:szCs w:val="24"/>
              </w:rPr>
              <w:t xml:space="preserve"> Non-Carrier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xml:space="preserve">] early MCI (162) Aβ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xml:space="preserve">] late MCI (85) Aβ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early MCI (162)</w:t>
            </w:r>
            <w:r w:rsidRPr="00637448">
              <w:rPr>
                <w:color w:val="000000"/>
                <w:szCs w:val="24"/>
                <w:vertAlign w:val="superscript"/>
              </w:rPr>
              <w:t xml:space="preserve"> </w:t>
            </w:r>
            <w:r w:rsidRPr="00637448">
              <w:rPr>
                <w:color w:val="000000"/>
                <w:szCs w:val="24"/>
              </w:rPr>
              <w:t xml:space="preserve">Brain Glucose Metabolism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late MCI (85)</w:t>
            </w:r>
            <w:r w:rsidRPr="00637448">
              <w:rPr>
                <w:color w:val="000000"/>
                <w:szCs w:val="24"/>
                <w:vertAlign w:val="superscript"/>
              </w:rPr>
              <w:t xml:space="preserve"> </w:t>
            </w:r>
            <w:r w:rsidRPr="00637448">
              <w:rPr>
                <w:color w:val="000000"/>
                <w:szCs w:val="24"/>
              </w:rPr>
              <w:t xml:space="preserve">Brain Glucose Metabolism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4</w:t>
            </w:r>
            <w:r w:rsidRPr="00637448">
              <w:rPr>
                <w:color w:val="000000"/>
                <w:szCs w:val="24"/>
              </w:rPr>
              <w:t>] MCI (201) Gait Velocity*</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[26] MCI (398) Future Progression to AD at 1 year v</w:t>
            </w:r>
            <w:r w:rsidR="007173C1">
              <w:rPr>
                <w:color w:val="000000"/>
                <w:szCs w:val="24"/>
              </w:rPr>
              <w:t>ersus</w:t>
            </w:r>
            <w:r w:rsidRPr="00637448">
              <w:rPr>
                <w:color w:val="000000"/>
                <w:szCs w:val="24"/>
              </w:rPr>
              <w:t xml:space="preserve"> No Progression to AD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 xml:space="preserve">[26] MCI (398) Aβ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6</w:t>
            </w:r>
            <w:r w:rsidRPr="00637448">
              <w:rPr>
                <w:color w:val="000000"/>
                <w:szCs w:val="24"/>
              </w:rPr>
              <w:t>] MCI (74) Progressive v</w:t>
            </w:r>
            <w:r w:rsidR="007173C1">
              <w:rPr>
                <w:color w:val="000000"/>
                <w:szCs w:val="24"/>
              </w:rPr>
              <w:t>ersus</w:t>
            </w:r>
            <w:r w:rsidRPr="00637448">
              <w:rPr>
                <w:color w:val="000000"/>
                <w:szCs w:val="24"/>
              </w:rPr>
              <w:t xml:space="preserve"> Stable MCI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6</w:t>
            </w:r>
            <w:r w:rsidRPr="00637448">
              <w:rPr>
                <w:color w:val="000000"/>
                <w:szCs w:val="24"/>
              </w:rPr>
              <w:t>] MCI (160) Extrapyramidal Signs v</w:t>
            </w:r>
            <w:r w:rsidR="007173C1">
              <w:rPr>
                <w:color w:val="000000"/>
                <w:szCs w:val="24"/>
              </w:rPr>
              <w:t>ersus</w:t>
            </w:r>
            <w:r w:rsidRPr="00637448">
              <w:rPr>
                <w:color w:val="000000"/>
                <w:szCs w:val="24"/>
              </w:rPr>
              <w:t xml:space="preserve"> None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8</w:t>
            </w:r>
            <w:r w:rsidRPr="00637448">
              <w:rPr>
                <w:color w:val="000000"/>
                <w:szCs w:val="24"/>
              </w:rPr>
              <w:t xml:space="preserve">] MCI (392) </w:t>
            </w:r>
            <w:proofErr w:type="spellStart"/>
            <w:r w:rsidRPr="00637448">
              <w:rPr>
                <w:color w:val="000000"/>
                <w:szCs w:val="24"/>
              </w:rPr>
              <w:t>ChEI</w:t>
            </w:r>
            <w:proofErr w:type="spellEnd"/>
            <w:r w:rsidRPr="00637448">
              <w:rPr>
                <w:color w:val="000000"/>
                <w:szCs w:val="24"/>
              </w:rPr>
              <w:t xml:space="preserve"> v</w:t>
            </w:r>
            <w:r w:rsidR="007173C1">
              <w:rPr>
                <w:color w:val="000000"/>
                <w:szCs w:val="24"/>
              </w:rPr>
              <w:t>ersus</w:t>
            </w:r>
            <w:r w:rsidRPr="00637448">
              <w:rPr>
                <w:color w:val="000000"/>
                <w:szCs w:val="24"/>
              </w:rPr>
              <w:t xml:space="preserve"> </w:t>
            </w:r>
            <w:proofErr w:type="spellStart"/>
            <w:r w:rsidRPr="00637448">
              <w:rPr>
                <w:color w:val="000000"/>
                <w:szCs w:val="24"/>
              </w:rPr>
              <w:t>ChE</w:t>
            </w:r>
            <w:r w:rsidR="007173C1">
              <w:rPr>
                <w:color w:val="000000"/>
                <w:szCs w:val="24"/>
              </w:rPr>
              <w:t>I</w:t>
            </w:r>
            <w:proofErr w:type="spellEnd"/>
            <w:r w:rsidR="007173C1">
              <w:rPr>
                <w:color w:val="000000"/>
                <w:szCs w:val="24"/>
              </w:rPr>
              <w:t xml:space="preserve"> and </w:t>
            </w:r>
            <w:proofErr w:type="spellStart"/>
            <w:r w:rsidR="007173C1">
              <w:rPr>
                <w:color w:val="000000"/>
                <w:szCs w:val="24"/>
              </w:rPr>
              <w:t>Memantine</w:t>
            </w:r>
            <w:proofErr w:type="spellEnd"/>
            <w:r w:rsidR="007173C1">
              <w:rPr>
                <w:color w:val="000000"/>
                <w:szCs w:val="24"/>
              </w:rPr>
              <w:t xml:space="preserve"> Hydrochloride versus</w:t>
            </w:r>
            <w:r w:rsidRPr="00637448">
              <w:rPr>
                <w:color w:val="000000"/>
                <w:szCs w:val="24"/>
              </w:rPr>
              <w:t xml:space="preserve"> Neither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w:t>
            </w:r>
            <w:r w:rsidR="00D62F92" w:rsidRPr="00637448">
              <w:rPr>
                <w:color w:val="000000"/>
                <w:szCs w:val="24"/>
              </w:rPr>
              <w:t>50</w:t>
            </w:r>
            <w:r w:rsidRPr="00637448">
              <w:rPr>
                <w:color w:val="000000"/>
                <w:szCs w:val="24"/>
              </w:rPr>
              <w:t>] MCI (516) APOE</w:t>
            </w:r>
            <w:r w:rsidR="00A92CD6">
              <w:rPr>
                <w:color w:val="000000"/>
                <w:szCs w:val="24"/>
              </w:rPr>
              <w:t xml:space="preserve"> </w:t>
            </w:r>
            <w:r w:rsidR="00A92CD6">
              <w:rPr>
                <w:color w:val="000000"/>
                <w:szCs w:val="24"/>
              </w:rPr>
              <w:sym w:font="Symbol" w:char="F065"/>
            </w:r>
            <w:r w:rsidRPr="00637448">
              <w:rPr>
                <w:color w:val="000000"/>
                <w:szCs w:val="24"/>
              </w:rPr>
              <w:t xml:space="preserve">4 allele Carriers </w:t>
            </w:r>
            <w:r w:rsidR="007173C1">
              <w:rPr>
                <w:color w:val="000000"/>
                <w:szCs w:val="24"/>
              </w:rPr>
              <w:t>versus</w:t>
            </w:r>
            <w:r w:rsidRPr="00637448">
              <w:rPr>
                <w:color w:val="000000"/>
                <w:szCs w:val="24"/>
              </w:rPr>
              <w:t xml:space="preserve"> Non-Carriers </w:t>
            </w:r>
          </w:p>
        </w:tc>
      </w:tr>
      <w:tr w:rsidR="00C106EC" w:rsidRPr="00637448" w:rsidTr="007173C1">
        <w:trPr>
          <w:trHeight w:val="302"/>
        </w:trPr>
        <w:tc>
          <w:tcPr>
            <w:tcW w:w="9363" w:type="dxa"/>
            <w:shd w:val="clear" w:color="auto" w:fill="auto"/>
          </w:tcPr>
          <w:p w:rsidR="00C106EC" w:rsidRPr="00637448" w:rsidRDefault="00D62F92" w:rsidP="007173C1">
            <w:pPr>
              <w:tabs>
                <w:tab w:val="left" w:pos="360"/>
              </w:tabs>
              <w:spacing w:before="0" w:line="240" w:lineRule="auto"/>
              <w:rPr>
                <w:color w:val="000000"/>
                <w:szCs w:val="24"/>
              </w:rPr>
            </w:pPr>
            <w:r w:rsidRPr="00637448">
              <w:rPr>
                <w:color w:val="000000"/>
                <w:szCs w:val="24"/>
              </w:rPr>
              <w:t>[56]</w:t>
            </w:r>
            <w:r w:rsidR="007173C1">
              <w:rPr>
                <w:color w:val="000000"/>
                <w:szCs w:val="24"/>
              </w:rPr>
              <w:t xml:space="preserve"> MCI (217) </w:t>
            </w:r>
            <w:proofErr w:type="spellStart"/>
            <w:r w:rsidR="007173C1">
              <w:rPr>
                <w:color w:val="000000"/>
                <w:szCs w:val="24"/>
              </w:rPr>
              <w:t>Florbetapir</w:t>
            </w:r>
            <w:proofErr w:type="spellEnd"/>
            <w:r w:rsidR="007173C1">
              <w:rPr>
                <w:color w:val="000000"/>
                <w:szCs w:val="24"/>
              </w:rPr>
              <w:t xml:space="preserve"> – versus</w:t>
            </w:r>
            <w:r w:rsidR="00C106EC" w:rsidRPr="00637448">
              <w:rPr>
                <w:color w:val="000000"/>
                <w:szCs w:val="24"/>
              </w:rPr>
              <w:t xml:space="preserve"> +</w:t>
            </w:r>
          </w:p>
        </w:tc>
      </w:tr>
      <w:tr w:rsidR="00C106EC" w:rsidRPr="00637448" w:rsidTr="007173C1">
        <w:trPr>
          <w:trHeight w:val="302"/>
        </w:trPr>
        <w:tc>
          <w:tcPr>
            <w:tcW w:w="9363" w:type="dxa"/>
            <w:shd w:val="clear" w:color="auto" w:fill="auto"/>
          </w:tcPr>
          <w:p w:rsidR="00C106EC" w:rsidRPr="00637448" w:rsidRDefault="00C106EC" w:rsidP="007173C1">
            <w:pPr>
              <w:tabs>
                <w:tab w:val="left" w:pos="360"/>
              </w:tabs>
              <w:spacing w:before="0" w:line="240" w:lineRule="auto"/>
              <w:rPr>
                <w:color w:val="000000"/>
                <w:szCs w:val="24"/>
                <w:highlight w:val="yellow"/>
              </w:rPr>
            </w:pPr>
            <w:r w:rsidRPr="00637448">
              <w:rPr>
                <w:color w:val="000000"/>
                <w:szCs w:val="24"/>
              </w:rPr>
              <w:t>[5</w:t>
            </w:r>
            <w:r w:rsidR="00D62F92" w:rsidRPr="00637448">
              <w:rPr>
                <w:color w:val="000000"/>
                <w:szCs w:val="24"/>
              </w:rPr>
              <w:t>2</w:t>
            </w:r>
            <w:r w:rsidRPr="00637448">
              <w:rPr>
                <w:color w:val="000000"/>
                <w:szCs w:val="24"/>
              </w:rPr>
              <w:t xml:space="preserve">] NC/MCI (75) Activities of Daily Living </w:t>
            </w:r>
          </w:p>
        </w:tc>
      </w:tr>
      <w:tr w:rsidR="00C106EC" w:rsidRPr="00637448" w:rsidTr="007173C1">
        <w:trPr>
          <w:trHeight w:val="302"/>
        </w:trPr>
        <w:tc>
          <w:tcPr>
            <w:tcW w:w="9363" w:type="dxa"/>
            <w:shd w:val="clear" w:color="auto" w:fill="auto"/>
          </w:tcPr>
          <w:p w:rsidR="00C106EC" w:rsidRPr="00637448" w:rsidRDefault="00D62F92" w:rsidP="007173C1">
            <w:pPr>
              <w:tabs>
                <w:tab w:val="left" w:pos="360"/>
              </w:tabs>
              <w:spacing w:before="0" w:line="240" w:lineRule="auto"/>
              <w:rPr>
                <w:color w:val="000000"/>
                <w:szCs w:val="24"/>
                <w:highlight w:val="yellow"/>
              </w:rPr>
            </w:pPr>
            <w:r w:rsidRPr="00637448">
              <w:rPr>
                <w:color w:val="000000"/>
                <w:szCs w:val="24"/>
              </w:rPr>
              <w:t>[30]</w:t>
            </w:r>
            <w:r w:rsidR="00C106EC" w:rsidRPr="00637448">
              <w:rPr>
                <w:color w:val="000000"/>
                <w:szCs w:val="24"/>
              </w:rPr>
              <w:t xml:space="preserve"> NC-MCI (396) Conversion to AD* </w:t>
            </w:r>
          </w:p>
        </w:tc>
      </w:tr>
      <w:tr w:rsidR="00C106EC" w:rsidRPr="00637448" w:rsidTr="007173C1">
        <w:trPr>
          <w:trHeight w:val="302"/>
        </w:trPr>
        <w:tc>
          <w:tcPr>
            <w:tcW w:w="9363" w:type="dxa"/>
            <w:shd w:val="clear" w:color="auto" w:fill="AEAAAA" w:themeFill="background2" w:themeFillShade="BF"/>
          </w:tcPr>
          <w:p w:rsidR="006455A5" w:rsidRPr="00637448" w:rsidRDefault="00C106EC" w:rsidP="007173C1">
            <w:pPr>
              <w:tabs>
                <w:tab w:val="left" w:pos="360"/>
              </w:tabs>
              <w:spacing w:before="0" w:line="240" w:lineRule="auto"/>
              <w:rPr>
                <w:b/>
                <w:szCs w:val="24"/>
              </w:rPr>
            </w:pPr>
            <w:r w:rsidRPr="00637448">
              <w:rPr>
                <w:b/>
                <w:szCs w:val="24"/>
              </w:rPr>
              <w:t>Non-statistic</w:t>
            </w:r>
            <w:r w:rsidR="00A84A7C" w:rsidRPr="00637448">
              <w:rPr>
                <w:b/>
                <w:szCs w:val="24"/>
              </w:rPr>
              <w:t>ally significant association between exposure and</w:t>
            </w:r>
            <w:r w:rsidRPr="00637448">
              <w:rPr>
                <w:b/>
                <w:szCs w:val="24"/>
              </w:rPr>
              <w:t xml:space="preserve"> ADAS-Cog-11, where no other cognitive or brain imaging outcome measure found a statistically significant association</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[3</w:t>
            </w:r>
            <w:r w:rsidR="00D62F92" w:rsidRPr="00637448">
              <w:rPr>
                <w:color w:val="000000"/>
                <w:szCs w:val="24"/>
              </w:rPr>
              <w:t>5</w:t>
            </w:r>
            <w:r w:rsidRPr="00637448">
              <w:rPr>
                <w:color w:val="000000"/>
                <w:szCs w:val="24"/>
              </w:rPr>
              <w:t>] NC (225)</w:t>
            </w:r>
            <w:r w:rsidRPr="00637448">
              <w:rPr>
                <w:color w:val="000000"/>
                <w:szCs w:val="24"/>
                <w:vertAlign w:val="superscript"/>
              </w:rPr>
              <w:t xml:space="preserve"> </w:t>
            </w:r>
            <w:r w:rsidRPr="00637448">
              <w:rPr>
                <w:color w:val="000000"/>
                <w:szCs w:val="24"/>
              </w:rPr>
              <w:t xml:space="preserve">Hippocampal Volume * </w:t>
            </w:r>
          </w:p>
        </w:tc>
      </w:tr>
      <w:tr w:rsidR="00C106EC" w:rsidRPr="00637448" w:rsidTr="007173C1">
        <w:trPr>
          <w:trHeight w:val="302"/>
        </w:trPr>
        <w:tc>
          <w:tcPr>
            <w:tcW w:w="9363" w:type="dxa"/>
            <w:shd w:val="clear" w:color="auto" w:fill="auto"/>
            <w:hideMark/>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[3</w:t>
            </w:r>
            <w:r w:rsidR="00D62F92" w:rsidRPr="00637448">
              <w:rPr>
                <w:color w:val="000000"/>
                <w:szCs w:val="24"/>
              </w:rPr>
              <w:t>5</w:t>
            </w:r>
            <w:r w:rsidRPr="00637448">
              <w:rPr>
                <w:color w:val="000000"/>
                <w:szCs w:val="24"/>
              </w:rPr>
              <w:t>]</w:t>
            </w:r>
            <w:r w:rsidR="00637448">
              <w:rPr>
                <w:color w:val="000000"/>
                <w:szCs w:val="24"/>
                <w:vertAlign w:val="superscript"/>
              </w:rPr>
              <w:t xml:space="preserve"> </w:t>
            </w:r>
            <w:r w:rsidRPr="00637448">
              <w:rPr>
                <w:color w:val="000000"/>
                <w:szCs w:val="24"/>
              </w:rPr>
              <w:t xml:space="preserve">NC (225) </w:t>
            </w:r>
            <w:proofErr w:type="spellStart"/>
            <w:r w:rsidRPr="00637448">
              <w:rPr>
                <w:color w:val="000000"/>
                <w:szCs w:val="24"/>
              </w:rPr>
              <w:t>Parahippocampal</w:t>
            </w:r>
            <w:proofErr w:type="spellEnd"/>
            <w:r w:rsidRPr="00637448">
              <w:rPr>
                <w:color w:val="000000"/>
                <w:szCs w:val="24"/>
              </w:rPr>
              <w:t xml:space="preserve"> Thickness*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[3</w:t>
            </w:r>
            <w:r w:rsidR="00D62F92" w:rsidRPr="00637448">
              <w:rPr>
                <w:color w:val="000000"/>
                <w:szCs w:val="24"/>
              </w:rPr>
              <w:t>5</w:t>
            </w:r>
            <w:r w:rsidRPr="00637448">
              <w:rPr>
                <w:color w:val="000000"/>
                <w:szCs w:val="24"/>
              </w:rPr>
              <w:t>] NC (225)</w:t>
            </w:r>
            <w:r w:rsidRPr="00637448">
              <w:rPr>
                <w:color w:val="000000"/>
                <w:szCs w:val="24"/>
                <w:vertAlign w:val="superscript"/>
              </w:rPr>
              <w:t xml:space="preserve"> </w:t>
            </w:r>
            <w:proofErr w:type="spellStart"/>
            <w:r w:rsidRPr="00637448">
              <w:rPr>
                <w:color w:val="000000"/>
                <w:szCs w:val="24"/>
              </w:rPr>
              <w:t>Entorhinal</w:t>
            </w:r>
            <w:proofErr w:type="spellEnd"/>
            <w:r w:rsidRPr="00637448">
              <w:rPr>
                <w:color w:val="000000"/>
                <w:szCs w:val="24"/>
              </w:rPr>
              <w:t xml:space="preserve"> Thickness*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xml:space="preserve">] NC (126) Brain Glucose Metabolism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xml:space="preserve">] NC (126) Aβ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8</w:t>
            </w:r>
            <w:r w:rsidRPr="00637448">
              <w:rPr>
                <w:color w:val="000000"/>
                <w:szCs w:val="24"/>
              </w:rPr>
              <w:t>] MCI (286) Body Mass Index*</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6</w:t>
            </w:r>
            <w:r w:rsidRPr="00637448">
              <w:rPr>
                <w:color w:val="000000"/>
                <w:szCs w:val="24"/>
              </w:rPr>
              <w:t>] MCI (397) Fish Oil Supplement v</w:t>
            </w:r>
            <w:r w:rsidR="007173C1">
              <w:rPr>
                <w:color w:val="000000"/>
                <w:szCs w:val="24"/>
              </w:rPr>
              <w:t>ersu</w:t>
            </w:r>
            <w:r w:rsidRPr="00637448">
              <w:rPr>
                <w:color w:val="000000"/>
                <w:szCs w:val="24"/>
              </w:rPr>
              <w:t xml:space="preserve">s None*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[5</w:t>
            </w:r>
            <w:r w:rsidR="00D62F92" w:rsidRPr="00637448">
              <w:rPr>
                <w:color w:val="000000"/>
                <w:szCs w:val="24"/>
              </w:rPr>
              <w:t>3</w:t>
            </w:r>
            <w:r w:rsidRPr="00637448">
              <w:rPr>
                <w:color w:val="000000"/>
                <w:szCs w:val="24"/>
              </w:rPr>
              <w:t>] MCI (51) Aβ + v</w:t>
            </w:r>
            <w:r w:rsidR="007173C1">
              <w:rPr>
                <w:color w:val="000000"/>
                <w:szCs w:val="24"/>
              </w:rPr>
              <w:t>ersu</w:t>
            </w:r>
            <w:r w:rsidRPr="00637448">
              <w:rPr>
                <w:color w:val="000000"/>
                <w:szCs w:val="24"/>
              </w:rPr>
              <w:t>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lastRenderedPageBreak/>
              <w:t>[5</w:t>
            </w:r>
            <w:r w:rsidR="00D62F92" w:rsidRPr="00637448">
              <w:rPr>
                <w:color w:val="000000"/>
                <w:szCs w:val="24"/>
              </w:rPr>
              <w:t>4</w:t>
            </w:r>
            <w:r w:rsidRPr="00637448">
              <w:rPr>
                <w:color w:val="000000"/>
                <w:szCs w:val="24"/>
              </w:rPr>
              <w:t>] MCI (47) Aβ + v</w:t>
            </w:r>
            <w:r w:rsidR="007173C1">
              <w:rPr>
                <w:color w:val="000000"/>
                <w:szCs w:val="24"/>
              </w:rPr>
              <w:t>ersu</w:t>
            </w:r>
            <w:r w:rsidRPr="00637448">
              <w:rPr>
                <w:color w:val="000000"/>
                <w:szCs w:val="24"/>
              </w:rPr>
              <w:t>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9</w:t>
            </w:r>
            <w:r w:rsidRPr="00637448">
              <w:rPr>
                <w:color w:val="000000"/>
                <w:szCs w:val="24"/>
              </w:rPr>
              <w:t xml:space="preserve">] MCI (747) </w:t>
            </w:r>
            <w:proofErr w:type="spellStart"/>
            <w:r w:rsidRPr="00637448">
              <w:rPr>
                <w:color w:val="000000"/>
                <w:szCs w:val="24"/>
              </w:rPr>
              <w:t>Urate</w:t>
            </w:r>
            <w:proofErr w:type="spellEnd"/>
            <w:r w:rsidRPr="00637448">
              <w:rPr>
                <w:color w:val="000000"/>
                <w:szCs w:val="24"/>
              </w:rPr>
              <w:t xml:space="preserve"> Quintiles</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5</w:t>
            </w:r>
            <w:r w:rsidRPr="00637448">
              <w:rPr>
                <w:color w:val="000000"/>
                <w:szCs w:val="24"/>
              </w:rPr>
              <w:t xml:space="preserve">] MCI (173) CSF </w:t>
            </w:r>
            <w:proofErr w:type="spellStart"/>
            <w:r w:rsidRPr="00637448">
              <w:rPr>
                <w:color w:val="000000"/>
                <w:szCs w:val="24"/>
              </w:rPr>
              <w:t>Neurogranin</w:t>
            </w:r>
            <w:proofErr w:type="spellEnd"/>
            <w:r w:rsidRPr="00637448">
              <w:rPr>
                <w:color w:val="000000"/>
                <w:szCs w:val="24"/>
              </w:rPr>
              <w:t xml:space="preserve"> Quartiles</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9</w:t>
            </w:r>
            <w:r w:rsidRPr="00637448">
              <w:rPr>
                <w:color w:val="000000"/>
                <w:szCs w:val="24"/>
              </w:rPr>
              <w:t xml:space="preserve">] MCI (187) CSF levels Complement 3*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9</w:t>
            </w:r>
            <w:r w:rsidRPr="00637448">
              <w:rPr>
                <w:color w:val="000000"/>
                <w:szCs w:val="24"/>
              </w:rPr>
              <w:t xml:space="preserve">] MCI (187) CSF levels Factor H*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9</w:t>
            </w:r>
            <w:r w:rsidRPr="00637448">
              <w:rPr>
                <w:color w:val="000000"/>
                <w:szCs w:val="24"/>
              </w:rPr>
              <w:t xml:space="preserve">] MCI (187) Complement 3/Factor H* </w:t>
            </w:r>
          </w:p>
        </w:tc>
      </w:tr>
      <w:tr w:rsidR="00C106EC" w:rsidRPr="00637448" w:rsidTr="007173C1">
        <w:trPr>
          <w:trHeight w:val="302"/>
        </w:trPr>
        <w:tc>
          <w:tcPr>
            <w:tcW w:w="9363" w:type="dxa"/>
            <w:shd w:val="clear" w:color="auto" w:fill="auto"/>
          </w:tcPr>
          <w:p w:rsidR="00C106EC" w:rsidRPr="00637448" w:rsidRDefault="00D62F92" w:rsidP="007173C1">
            <w:pPr>
              <w:tabs>
                <w:tab w:val="left" w:pos="360"/>
              </w:tabs>
              <w:spacing w:before="0" w:line="240" w:lineRule="auto"/>
              <w:rPr>
                <w:color w:val="000000"/>
                <w:szCs w:val="24"/>
              </w:rPr>
            </w:pPr>
            <w:r w:rsidRPr="00637448">
              <w:rPr>
                <w:color w:val="000000"/>
                <w:szCs w:val="24"/>
              </w:rPr>
              <w:t xml:space="preserve">[57] </w:t>
            </w:r>
            <w:r w:rsidR="00C106EC" w:rsidRPr="00637448">
              <w:rPr>
                <w:color w:val="000000"/>
                <w:szCs w:val="24"/>
              </w:rPr>
              <w:t>MCI Amyloid – subgroup (150) Depressed v</w:t>
            </w:r>
            <w:r w:rsidR="007173C1">
              <w:rPr>
                <w:color w:val="000000"/>
                <w:szCs w:val="24"/>
              </w:rPr>
              <w:t>ersu</w:t>
            </w:r>
            <w:r w:rsidR="00C106EC" w:rsidRPr="00637448">
              <w:rPr>
                <w:color w:val="000000"/>
                <w:szCs w:val="24"/>
              </w:rPr>
              <w:t>s Non-Depressed</w:t>
            </w:r>
          </w:p>
        </w:tc>
      </w:tr>
      <w:tr w:rsidR="00C106EC" w:rsidRPr="00637448" w:rsidTr="007173C1">
        <w:trPr>
          <w:trHeight w:val="302"/>
        </w:trPr>
        <w:tc>
          <w:tcPr>
            <w:tcW w:w="9363" w:type="dxa"/>
            <w:shd w:val="clear" w:color="auto" w:fill="auto"/>
          </w:tcPr>
          <w:p w:rsidR="00C106EC" w:rsidRPr="00637448" w:rsidRDefault="00D62F92" w:rsidP="007173C1">
            <w:pPr>
              <w:tabs>
                <w:tab w:val="left" w:pos="360"/>
              </w:tabs>
              <w:spacing w:before="0" w:line="240" w:lineRule="auto"/>
              <w:rPr>
                <w:color w:val="000000"/>
                <w:szCs w:val="24"/>
              </w:rPr>
            </w:pPr>
            <w:r w:rsidRPr="00637448">
              <w:rPr>
                <w:color w:val="000000"/>
                <w:szCs w:val="24"/>
              </w:rPr>
              <w:t>[57]</w:t>
            </w:r>
            <w:r w:rsidR="00C106EC" w:rsidRPr="00637448">
              <w:rPr>
                <w:color w:val="000000"/>
                <w:szCs w:val="24"/>
              </w:rPr>
              <w:t xml:space="preserve"> </w:t>
            </w:r>
            <w:r w:rsidR="005D5BB5" w:rsidRPr="00637448">
              <w:rPr>
                <w:color w:val="000000"/>
                <w:szCs w:val="24"/>
              </w:rPr>
              <w:t xml:space="preserve">MCI </w:t>
            </w:r>
            <w:r w:rsidR="00C106EC" w:rsidRPr="00637448">
              <w:rPr>
                <w:color w:val="000000"/>
                <w:szCs w:val="24"/>
              </w:rPr>
              <w:t>Amyloi</w:t>
            </w:r>
            <w:r w:rsidR="007173C1">
              <w:rPr>
                <w:color w:val="000000"/>
                <w:szCs w:val="24"/>
              </w:rPr>
              <w:t>d + subgroup (186) Depressed versus</w:t>
            </w:r>
            <w:r w:rsidR="00C106EC" w:rsidRPr="00637448">
              <w:rPr>
                <w:color w:val="000000"/>
                <w:szCs w:val="24"/>
              </w:rPr>
              <w:t xml:space="preserve"> Non-Depressed </w:t>
            </w:r>
          </w:p>
        </w:tc>
      </w:tr>
      <w:tr w:rsidR="00C106EC" w:rsidRPr="00637448" w:rsidTr="007173C1">
        <w:trPr>
          <w:trHeight w:val="302"/>
        </w:trPr>
        <w:tc>
          <w:tcPr>
            <w:tcW w:w="9363" w:type="dxa"/>
            <w:shd w:val="clear" w:color="auto" w:fill="auto"/>
          </w:tcPr>
          <w:p w:rsidR="00C106EC" w:rsidRPr="00637448" w:rsidRDefault="00C106EC" w:rsidP="007173C1">
            <w:pPr>
              <w:tabs>
                <w:tab w:val="left" w:pos="360"/>
              </w:tabs>
              <w:spacing w:before="0" w:line="240" w:lineRule="auto"/>
              <w:rPr>
                <w:color w:val="000000"/>
                <w:szCs w:val="24"/>
                <w:highlight w:val="yellow"/>
              </w:rPr>
            </w:pPr>
            <w:r w:rsidRPr="00637448">
              <w:rPr>
                <w:color w:val="000000"/>
                <w:szCs w:val="24"/>
              </w:rPr>
              <w:t>[</w:t>
            </w:r>
            <w:r w:rsidR="00D62F92" w:rsidRPr="00637448">
              <w:rPr>
                <w:color w:val="000000"/>
                <w:szCs w:val="24"/>
              </w:rPr>
              <w:t>51</w:t>
            </w:r>
            <w:r w:rsidRPr="00637448">
              <w:rPr>
                <w:color w:val="000000"/>
                <w:szCs w:val="24"/>
              </w:rPr>
              <w:t>] NC/MCI (3069) Lipid Lowering Medication v</w:t>
            </w:r>
            <w:r w:rsidR="007173C1">
              <w:rPr>
                <w:color w:val="000000"/>
                <w:szCs w:val="24"/>
              </w:rPr>
              <w:t>ersu</w:t>
            </w:r>
            <w:r w:rsidRPr="00637448">
              <w:rPr>
                <w:color w:val="000000"/>
                <w:szCs w:val="24"/>
              </w:rPr>
              <w:t xml:space="preserve">s None* </w:t>
            </w:r>
          </w:p>
        </w:tc>
      </w:tr>
      <w:tr w:rsidR="00C106EC" w:rsidRPr="00637448" w:rsidTr="007173C1">
        <w:trPr>
          <w:trHeight w:val="302"/>
        </w:trPr>
        <w:tc>
          <w:tcPr>
            <w:tcW w:w="9363" w:type="dxa"/>
            <w:shd w:val="clear" w:color="auto" w:fill="AEAAAA" w:themeFill="background2" w:themeFillShade="BF"/>
          </w:tcPr>
          <w:p w:rsidR="006455A5" w:rsidRPr="00637448" w:rsidRDefault="00C106EC" w:rsidP="007173C1">
            <w:pPr>
              <w:tabs>
                <w:tab w:val="left" w:pos="360"/>
              </w:tabs>
              <w:spacing w:before="0" w:line="240" w:lineRule="auto"/>
              <w:rPr>
                <w:b/>
                <w:szCs w:val="24"/>
              </w:rPr>
            </w:pPr>
            <w:r w:rsidRPr="00637448">
              <w:rPr>
                <w:b/>
                <w:szCs w:val="24"/>
              </w:rPr>
              <w:t xml:space="preserve">Non-statistically significant association </w:t>
            </w:r>
            <w:r w:rsidR="00A84A7C" w:rsidRPr="00637448">
              <w:rPr>
                <w:b/>
                <w:szCs w:val="24"/>
              </w:rPr>
              <w:t>between exposure and</w:t>
            </w:r>
            <w:r w:rsidRPr="00637448">
              <w:rPr>
                <w:b/>
                <w:szCs w:val="24"/>
              </w:rPr>
              <w:t xml:space="preserve"> ADAS-Cog-11, where at least one other cognitive or brain imaging outcome measure detected a statistically significant association</w:t>
            </w:r>
          </w:p>
        </w:tc>
      </w:tr>
      <w:tr w:rsidR="00C106EC" w:rsidRPr="00637448" w:rsidTr="007173C1">
        <w:trPr>
          <w:trHeight w:val="302"/>
        </w:trPr>
        <w:tc>
          <w:tcPr>
            <w:tcW w:w="9363" w:type="dxa"/>
            <w:shd w:val="clear" w:color="auto" w:fill="auto"/>
            <w:hideMark/>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[3</w:t>
            </w:r>
            <w:r w:rsidR="00D62F92" w:rsidRPr="00637448">
              <w:rPr>
                <w:color w:val="000000"/>
                <w:szCs w:val="24"/>
              </w:rPr>
              <w:t>5</w:t>
            </w:r>
            <w:r w:rsidRPr="00637448">
              <w:rPr>
                <w:color w:val="000000"/>
                <w:szCs w:val="24"/>
              </w:rPr>
              <w:t>]</w:t>
            </w:r>
            <w:r w:rsidRPr="00637448">
              <w:rPr>
                <w:color w:val="000000"/>
                <w:szCs w:val="24"/>
                <w:vertAlign w:val="superscript"/>
              </w:rPr>
              <w:t xml:space="preserve"> </w:t>
            </w:r>
            <w:r w:rsidRPr="00637448">
              <w:rPr>
                <w:color w:val="000000"/>
                <w:szCs w:val="24"/>
              </w:rPr>
              <w:t xml:space="preserve">NC (225) Fusiform Thickness*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[5</w:t>
            </w:r>
            <w:r w:rsidR="00D62F92" w:rsidRPr="00637448">
              <w:rPr>
                <w:color w:val="000000"/>
                <w:szCs w:val="24"/>
              </w:rPr>
              <w:t>3</w:t>
            </w:r>
            <w:r w:rsidRPr="00637448">
              <w:rPr>
                <w:color w:val="000000"/>
                <w:szCs w:val="24"/>
              </w:rPr>
              <w:t>]</w:t>
            </w:r>
            <w:r w:rsidRPr="00637448">
              <w:rPr>
                <w:color w:val="000000"/>
                <w:szCs w:val="24"/>
                <w:vertAlign w:val="superscript"/>
              </w:rPr>
              <w:t xml:space="preserve"> </w:t>
            </w:r>
            <w:r w:rsidRPr="00637448">
              <w:rPr>
                <w:color w:val="000000"/>
                <w:szCs w:val="24"/>
              </w:rPr>
              <w:t>NC</w:t>
            </w:r>
            <w:r w:rsidRPr="00637448">
              <w:rPr>
                <w:color w:val="000000"/>
                <w:szCs w:val="24"/>
                <w:vertAlign w:val="superscript"/>
              </w:rPr>
              <w:t xml:space="preserve"> </w:t>
            </w:r>
            <w:r w:rsidRPr="00637448">
              <w:rPr>
                <w:color w:val="000000"/>
                <w:szCs w:val="24"/>
              </w:rPr>
              <w:t>(69) Aβ + v</w:t>
            </w:r>
            <w:r w:rsidR="007173C1">
              <w:rPr>
                <w:color w:val="000000"/>
                <w:szCs w:val="24"/>
              </w:rPr>
              <w:t>ersu</w:t>
            </w:r>
            <w:r w:rsidRPr="00637448">
              <w:rPr>
                <w:color w:val="000000"/>
                <w:szCs w:val="24"/>
              </w:rPr>
              <w:t xml:space="preserve">s –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[5</w:t>
            </w:r>
            <w:r w:rsidR="00D62F92" w:rsidRPr="00637448">
              <w:rPr>
                <w:color w:val="000000"/>
                <w:szCs w:val="24"/>
              </w:rPr>
              <w:t>4</w:t>
            </w:r>
            <w:r w:rsidRPr="00637448">
              <w:rPr>
                <w:color w:val="000000"/>
                <w:szCs w:val="24"/>
              </w:rPr>
              <w:t>]</w:t>
            </w:r>
            <w:r w:rsidRPr="00637448">
              <w:rPr>
                <w:color w:val="000000"/>
                <w:szCs w:val="24"/>
                <w:vertAlign w:val="superscript"/>
              </w:rPr>
              <w:t xml:space="preserve"> </w:t>
            </w:r>
            <w:r w:rsidRPr="00637448">
              <w:rPr>
                <w:color w:val="000000"/>
                <w:szCs w:val="24"/>
              </w:rPr>
              <w:t>NC (67)</w:t>
            </w:r>
            <w:r w:rsidRPr="00637448">
              <w:rPr>
                <w:color w:val="000000"/>
                <w:szCs w:val="24"/>
                <w:vertAlign w:val="superscript"/>
              </w:rPr>
              <w:t xml:space="preserve"> </w:t>
            </w:r>
            <w:r w:rsidRPr="00637448">
              <w:rPr>
                <w:color w:val="000000"/>
                <w:szCs w:val="24"/>
              </w:rPr>
              <w:t>Aβ + v</w:t>
            </w:r>
            <w:r w:rsidR="007173C1">
              <w:rPr>
                <w:color w:val="000000"/>
                <w:szCs w:val="24"/>
              </w:rPr>
              <w:t>ersu</w:t>
            </w:r>
            <w:r w:rsidRPr="00637448">
              <w:rPr>
                <w:color w:val="000000"/>
                <w:szCs w:val="24"/>
              </w:rPr>
              <w:t xml:space="preserve">s – </w:t>
            </w:r>
          </w:p>
        </w:tc>
      </w:tr>
      <w:tr w:rsidR="00C106EC" w:rsidRPr="00637448" w:rsidTr="007173C1">
        <w:trPr>
          <w:trHeight w:val="302"/>
        </w:trPr>
        <w:tc>
          <w:tcPr>
            <w:tcW w:w="9363" w:type="dxa"/>
            <w:shd w:val="clear" w:color="auto" w:fill="auto"/>
            <w:hideMark/>
          </w:tcPr>
          <w:p w:rsidR="006455A5" w:rsidRPr="00637448" w:rsidRDefault="006455A5" w:rsidP="007173C1">
            <w:pPr>
              <w:tabs>
                <w:tab w:val="left" w:pos="360"/>
              </w:tabs>
              <w:spacing w:before="0" w:line="240" w:lineRule="auto"/>
              <w:rPr>
                <w:color w:val="000000"/>
                <w:szCs w:val="24"/>
                <w:vertAlign w:val="superscript"/>
              </w:rPr>
            </w:pPr>
            <w:r w:rsidRPr="00637448">
              <w:rPr>
                <w:color w:val="000000"/>
                <w:szCs w:val="24"/>
              </w:rPr>
              <w:t>[3</w:t>
            </w:r>
            <w:r w:rsidR="00D62F92" w:rsidRPr="00637448">
              <w:rPr>
                <w:color w:val="000000"/>
                <w:szCs w:val="24"/>
              </w:rPr>
              <w:t>4</w:t>
            </w:r>
            <w:r w:rsidRPr="00637448">
              <w:rPr>
                <w:color w:val="000000"/>
                <w:szCs w:val="24"/>
              </w:rPr>
              <w:t>]</w:t>
            </w:r>
            <w:r w:rsidRPr="00637448">
              <w:rPr>
                <w:color w:val="000000"/>
                <w:szCs w:val="24"/>
                <w:vertAlign w:val="superscript"/>
              </w:rPr>
              <w:t xml:space="preserve"> </w:t>
            </w:r>
            <w:r w:rsidRPr="00637448">
              <w:rPr>
                <w:color w:val="000000"/>
                <w:szCs w:val="24"/>
              </w:rPr>
              <w:t>NC (191)</w:t>
            </w:r>
            <w:r w:rsidRPr="00637448">
              <w:rPr>
                <w:color w:val="000000"/>
                <w:szCs w:val="24"/>
                <w:vertAlign w:val="superscript"/>
              </w:rPr>
              <w:t xml:space="preserve"> </w:t>
            </w:r>
            <w:r w:rsidRPr="00637448">
              <w:rPr>
                <w:color w:val="000000"/>
                <w:szCs w:val="24"/>
              </w:rPr>
              <w:t>Future Conversion to MCI or AD v</w:t>
            </w:r>
            <w:r w:rsidR="007173C1">
              <w:rPr>
                <w:color w:val="000000"/>
                <w:szCs w:val="24"/>
              </w:rPr>
              <w:t>ersu</w:t>
            </w:r>
            <w:r w:rsidRPr="00637448">
              <w:rPr>
                <w:color w:val="000000"/>
                <w:szCs w:val="24"/>
              </w:rPr>
              <w:t xml:space="preserve">s No Future Conversion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5</w:t>
            </w:r>
            <w:r w:rsidRPr="00637448">
              <w:rPr>
                <w:color w:val="000000"/>
                <w:szCs w:val="24"/>
              </w:rPr>
              <w:t xml:space="preserve">] MCI (394) </w:t>
            </w:r>
            <w:proofErr w:type="spellStart"/>
            <w:r w:rsidRPr="00637448">
              <w:rPr>
                <w:color w:val="000000"/>
                <w:szCs w:val="24"/>
              </w:rPr>
              <w:t>Parahippocampal</w:t>
            </w:r>
            <w:proofErr w:type="spellEnd"/>
            <w:r w:rsidRPr="00637448">
              <w:rPr>
                <w:color w:val="000000"/>
                <w:szCs w:val="24"/>
              </w:rPr>
              <w:t xml:space="preserve"> Thickness*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3</w:t>
            </w:r>
            <w:r w:rsidRPr="00637448">
              <w:rPr>
                <w:color w:val="000000"/>
                <w:szCs w:val="24"/>
              </w:rPr>
              <w:t xml:space="preserve">] MCI (405) </w:t>
            </w:r>
            <w:proofErr w:type="spellStart"/>
            <w:r w:rsidRPr="00637448">
              <w:rPr>
                <w:color w:val="000000"/>
                <w:szCs w:val="24"/>
              </w:rPr>
              <w:t>Subsyndromal</w:t>
            </w:r>
            <w:proofErr w:type="spellEnd"/>
            <w:r w:rsidRPr="00637448">
              <w:rPr>
                <w:color w:val="000000"/>
                <w:szCs w:val="24"/>
              </w:rPr>
              <w:t xml:space="preserve"> Symptoms of Depression </w:t>
            </w:r>
            <w:r w:rsidR="007173C1">
              <w:rPr>
                <w:color w:val="000000"/>
                <w:szCs w:val="24"/>
              </w:rPr>
              <w:t>versus</w:t>
            </w:r>
            <w:r w:rsidRPr="00637448">
              <w:rPr>
                <w:color w:val="000000"/>
                <w:szCs w:val="24"/>
              </w:rPr>
              <w:t xml:space="preserve"> None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4</w:t>
            </w:r>
            <w:r w:rsidRPr="00637448">
              <w:rPr>
                <w:color w:val="000000"/>
                <w:szCs w:val="24"/>
              </w:rPr>
              <w:t xml:space="preserve">] MCI </w:t>
            </w:r>
            <w:r w:rsidRPr="00637448">
              <w:rPr>
                <w:szCs w:val="24"/>
              </w:rPr>
              <w:t xml:space="preserve">(201) Physical Activity* </w:t>
            </w:r>
          </w:p>
        </w:tc>
      </w:tr>
      <w:tr w:rsidR="00C106EC" w:rsidRPr="00637448" w:rsidTr="007173C1">
        <w:trPr>
          <w:trHeight w:val="302"/>
        </w:trPr>
        <w:tc>
          <w:tcPr>
            <w:tcW w:w="9363" w:type="dxa"/>
            <w:shd w:val="clear" w:color="auto" w:fill="auto"/>
          </w:tcPr>
          <w:p w:rsidR="006455A5" w:rsidRPr="00637448" w:rsidRDefault="006455A5" w:rsidP="007173C1">
            <w:pPr>
              <w:tabs>
                <w:tab w:val="left" w:pos="360"/>
              </w:tabs>
              <w:spacing w:before="0" w:line="240" w:lineRule="auto"/>
              <w:rPr>
                <w:color w:val="000000"/>
                <w:szCs w:val="24"/>
              </w:rPr>
            </w:pPr>
            <w:r w:rsidRPr="00637448">
              <w:rPr>
                <w:color w:val="000000"/>
                <w:szCs w:val="24"/>
              </w:rPr>
              <w:t>[4</w:t>
            </w:r>
            <w:r w:rsidR="00D62F92" w:rsidRPr="00637448">
              <w:rPr>
                <w:color w:val="000000"/>
                <w:szCs w:val="24"/>
              </w:rPr>
              <w:t>4</w:t>
            </w:r>
            <w:r w:rsidRPr="00637448">
              <w:rPr>
                <w:color w:val="000000"/>
                <w:szCs w:val="24"/>
              </w:rPr>
              <w:t xml:space="preserve">] MCI </w:t>
            </w:r>
            <w:r w:rsidRPr="00637448">
              <w:rPr>
                <w:szCs w:val="24"/>
              </w:rPr>
              <w:t xml:space="preserve">(201) Grip Strength* </w:t>
            </w:r>
          </w:p>
        </w:tc>
      </w:tr>
      <w:tr w:rsidR="00C106EC" w:rsidRPr="00637448" w:rsidTr="007173C1">
        <w:trPr>
          <w:trHeight w:val="302"/>
        </w:trPr>
        <w:tc>
          <w:tcPr>
            <w:tcW w:w="9363" w:type="dxa"/>
            <w:shd w:val="clear" w:color="auto" w:fill="auto"/>
          </w:tcPr>
          <w:p w:rsidR="00C106EC" w:rsidRPr="00637448" w:rsidRDefault="00D62F92" w:rsidP="007173C1">
            <w:pPr>
              <w:tabs>
                <w:tab w:val="left" w:pos="360"/>
              </w:tabs>
              <w:spacing w:before="0" w:line="240" w:lineRule="auto"/>
              <w:rPr>
                <w:color w:val="000000"/>
                <w:szCs w:val="24"/>
              </w:rPr>
            </w:pPr>
            <w:r w:rsidRPr="00637448">
              <w:rPr>
                <w:color w:val="000000"/>
                <w:szCs w:val="24"/>
              </w:rPr>
              <w:t xml:space="preserve">[55] </w:t>
            </w:r>
            <w:r w:rsidR="00C106EC" w:rsidRPr="00637448">
              <w:rPr>
                <w:color w:val="000000"/>
                <w:szCs w:val="24"/>
              </w:rPr>
              <w:t xml:space="preserve">MCI (101) </w:t>
            </w:r>
            <w:proofErr w:type="spellStart"/>
            <w:r w:rsidR="00C106EC" w:rsidRPr="00637448">
              <w:rPr>
                <w:color w:val="000000"/>
                <w:szCs w:val="24"/>
              </w:rPr>
              <w:t>Subsyndromal</w:t>
            </w:r>
            <w:proofErr w:type="spellEnd"/>
            <w:r w:rsidR="00C106EC" w:rsidRPr="00637448">
              <w:rPr>
                <w:color w:val="000000"/>
                <w:szCs w:val="24"/>
              </w:rPr>
              <w:t xml:space="preserve"> Symptoms of Depression </w:t>
            </w:r>
            <w:r w:rsidR="007173C1">
              <w:rPr>
                <w:color w:val="000000"/>
                <w:szCs w:val="24"/>
              </w:rPr>
              <w:t>versus</w:t>
            </w:r>
            <w:r w:rsidR="00C106EC" w:rsidRPr="00637448">
              <w:rPr>
                <w:color w:val="000000"/>
                <w:szCs w:val="24"/>
              </w:rPr>
              <w:t xml:space="preserve"> </w:t>
            </w:r>
            <w:r w:rsidR="009B607E" w:rsidRPr="00637448">
              <w:rPr>
                <w:color w:val="000000"/>
                <w:szCs w:val="24"/>
              </w:rPr>
              <w:t>None</w:t>
            </w:r>
            <w:r w:rsidR="00BD35AC" w:rsidRPr="00637448">
              <w:rPr>
                <w:color w:val="000000"/>
                <w:szCs w:val="24"/>
              </w:rPr>
              <w:t>*</w:t>
            </w:r>
          </w:p>
        </w:tc>
      </w:tr>
    </w:tbl>
    <w:p w:rsidR="000F1C5C" w:rsidRPr="00637448" w:rsidRDefault="00E73756" w:rsidP="007173C1">
      <w:pPr>
        <w:tabs>
          <w:tab w:val="left" w:pos="360"/>
        </w:tabs>
        <w:spacing w:before="0" w:line="240" w:lineRule="auto"/>
        <w:rPr>
          <w:szCs w:val="24"/>
        </w:rPr>
      </w:pPr>
      <w:r w:rsidRPr="00637448">
        <w:rPr>
          <w:szCs w:val="24"/>
        </w:rPr>
        <w:t>Exposure was treated as a continuous variable, unless otherwise specified. * indicates adjusted for</w:t>
      </w:r>
      <w:r w:rsidR="005D5BB5" w:rsidRPr="00637448">
        <w:rPr>
          <w:szCs w:val="24"/>
        </w:rPr>
        <w:t xml:space="preserve"> potential confounders. ADAS-Cog</w:t>
      </w:r>
      <w:r w:rsidRPr="00637448">
        <w:rPr>
          <w:szCs w:val="24"/>
        </w:rPr>
        <w:t>-11</w:t>
      </w:r>
      <w:r w:rsidR="007173C1">
        <w:rPr>
          <w:szCs w:val="24"/>
        </w:rPr>
        <w:t xml:space="preserve">, </w:t>
      </w:r>
      <w:proofErr w:type="gramStart"/>
      <w:r w:rsidRPr="00637448">
        <w:rPr>
          <w:szCs w:val="24"/>
        </w:rPr>
        <w:t>Alzheimer’s Disease</w:t>
      </w:r>
      <w:proofErr w:type="gramEnd"/>
      <w:r w:rsidRPr="00637448">
        <w:rPr>
          <w:szCs w:val="24"/>
        </w:rPr>
        <w:t xml:space="preserve"> Assessment Scale – Cognitive Subscale</w:t>
      </w:r>
      <w:r w:rsidR="007173C1">
        <w:rPr>
          <w:szCs w:val="24"/>
        </w:rPr>
        <w:t xml:space="preserve">; MCI, </w:t>
      </w:r>
      <w:r w:rsidR="007173C1" w:rsidRPr="00637448">
        <w:rPr>
          <w:szCs w:val="24"/>
        </w:rPr>
        <w:t>mild cognitive impai</w:t>
      </w:r>
      <w:r w:rsidRPr="00637448">
        <w:rPr>
          <w:szCs w:val="24"/>
        </w:rPr>
        <w:t>rment</w:t>
      </w:r>
      <w:r w:rsidR="007173C1">
        <w:rPr>
          <w:szCs w:val="24"/>
        </w:rPr>
        <w:t>;</w:t>
      </w:r>
      <w:r w:rsidRPr="00637448">
        <w:rPr>
          <w:szCs w:val="24"/>
        </w:rPr>
        <w:t xml:space="preserve"> NC</w:t>
      </w:r>
      <w:r w:rsidR="007173C1">
        <w:rPr>
          <w:szCs w:val="24"/>
        </w:rPr>
        <w:t>, n</w:t>
      </w:r>
      <w:r w:rsidRPr="00637448">
        <w:rPr>
          <w:szCs w:val="24"/>
        </w:rPr>
        <w:t xml:space="preserve">ormal </w:t>
      </w:r>
      <w:r w:rsidR="007173C1">
        <w:rPr>
          <w:szCs w:val="24"/>
        </w:rPr>
        <w:t>c</w:t>
      </w:r>
      <w:r w:rsidRPr="00637448">
        <w:rPr>
          <w:szCs w:val="24"/>
        </w:rPr>
        <w:t>ognition.</w:t>
      </w:r>
      <w:r w:rsidR="00015189" w:rsidRPr="00637448">
        <w:rPr>
          <w:b/>
          <w:szCs w:val="24"/>
        </w:rPr>
        <w:br w:type="textWrapping" w:clear="all"/>
      </w:r>
    </w:p>
    <w:p w:rsidR="007173C1" w:rsidRDefault="007173C1">
      <w:pPr>
        <w:spacing w:before="0" w:after="160" w:line="259" w:lineRule="auto"/>
        <w:rPr>
          <w:b/>
          <w:szCs w:val="24"/>
        </w:rPr>
      </w:pPr>
      <w:bookmarkStart w:id="2" w:name="_Toc488396376"/>
      <w:r>
        <w:rPr>
          <w:b/>
          <w:szCs w:val="24"/>
        </w:rPr>
        <w:br w:type="page"/>
      </w:r>
    </w:p>
    <w:p w:rsidR="0064018F" w:rsidRPr="007173C1" w:rsidRDefault="007173C1" w:rsidP="007173C1">
      <w:pPr>
        <w:tabs>
          <w:tab w:val="left" w:pos="360"/>
        </w:tabs>
        <w:spacing w:before="0" w:line="240" w:lineRule="auto"/>
        <w:rPr>
          <w:szCs w:val="24"/>
        </w:rPr>
      </w:pPr>
      <w:proofErr w:type="gramStart"/>
      <w:r w:rsidRPr="00637448">
        <w:rPr>
          <w:b/>
          <w:szCs w:val="24"/>
        </w:rPr>
        <w:lastRenderedPageBreak/>
        <w:t>Supplementary Table 2</w:t>
      </w:r>
      <w:r>
        <w:rPr>
          <w:b/>
          <w:szCs w:val="24"/>
        </w:rPr>
        <w:t>.</w:t>
      </w:r>
      <w:proofErr w:type="gramEnd"/>
      <w:r w:rsidRPr="00637448">
        <w:rPr>
          <w:b/>
          <w:szCs w:val="24"/>
        </w:rPr>
        <w:t xml:space="preserve"> </w:t>
      </w:r>
      <w:r w:rsidRPr="007173C1">
        <w:rPr>
          <w:szCs w:val="24"/>
        </w:rPr>
        <w:t>Responsiveness to group-level between-person differences of within-person observed change in those estimated to be different based on baseline exposure status.</w:t>
      </w:r>
      <w:bookmarkEnd w:id="2"/>
    </w:p>
    <w:p w:rsidR="000401B9" w:rsidRPr="00637448" w:rsidRDefault="000401B9" w:rsidP="007173C1">
      <w:pPr>
        <w:tabs>
          <w:tab w:val="left" w:pos="360"/>
        </w:tabs>
        <w:spacing w:before="0" w:line="240" w:lineRule="auto"/>
        <w:rPr>
          <w:b/>
          <w:szCs w:val="24"/>
        </w:rPr>
      </w:pP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398"/>
      </w:tblGrid>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 xml:space="preserve">[Reference #] Population (sample size) Exposure </w:t>
            </w:r>
          </w:p>
        </w:tc>
      </w:tr>
      <w:tr w:rsidR="007173C1" w:rsidRPr="00637448" w:rsidTr="007173C1">
        <w:trPr>
          <w:trHeight w:val="288"/>
        </w:trPr>
        <w:tc>
          <w:tcPr>
            <w:tcW w:w="9398" w:type="dxa"/>
            <w:shd w:val="clear" w:color="auto" w:fill="AEAAAA" w:themeFill="background2" w:themeFillShade="BF"/>
          </w:tcPr>
          <w:p w:rsidR="005D5BB5" w:rsidRPr="00637448" w:rsidRDefault="005D5BB5" w:rsidP="007173C1">
            <w:pPr>
              <w:tabs>
                <w:tab w:val="left" w:pos="360"/>
              </w:tabs>
              <w:spacing w:before="0" w:line="240" w:lineRule="auto"/>
              <w:rPr>
                <w:b/>
                <w:szCs w:val="24"/>
              </w:rPr>
            </w:pPr>
            <w:r w:rsidRPr="00637448">
              <w:rPr>
                <w:b/>
                <w:szCs w:val="24"/>
              </w:rPr>
              <w:t>Statistically significant result for test of association between exposure and ADAS-Cog-11</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w:t>
            </w:r>
            <w:r w:rsidR="00D62F92" w:rsidRPr="00637448">
              <w:rPr>
                <w:color w:val="000000"/>
                <w:szCs w:val="24"/>
              </w:rPr>
              <w:t>51</w:t>
            </w:r>
            <w:r w:rsidRPr="00637448">
              <w:rPr>
                <w:color w:val="000000"/>
                <w:szCs w:val="24"/>
              </w:rPr>
              <w:t>] NC (257</w:t>
            </w:r>
            <w:r w:rsidR="007173C1">
              <w:rPr>
                <w:color w:val="000000"/>
                <w:szCs w:val="24"/>
              </w:rPr>
              <w:t>8) Lipid Lowering Medications versus</w:t>
            </w:r>
            <w:r w:rsidRPr="00637448">
              <w:rPr>
                <w:color w:val="000000"/>
                <w:szCs w:val="24"/>
              </w:rPr>
              <w:t xml:space="preserve"> None*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5</w:t>
            </w:r>
            <w:r w:rsidRPr="00637448">
              <w:rPr>
                <w:color w:val="000000"/>
                <w:szCs w:val="24"/>
              </w:rPr>
              <w:t xml:space="preserve">] NC (112) AD CSF Signature </w:t>
            </w:r>
            <w:r w:rsidR="007173C1">
              <w:rPr>
                <w:color w:val="000000"/>
                <w:szCs w:val="24"/>
              </w:rPr>
              <w:t>versus</w:t>
            </w:r>
            <w:r w:rsidRPr="00637448">
              <w:rPr>
                <w:color w:val="000000"/>
                <w:szCs w:val="24"/>
              </w:rPr>
              <w:t xml:space="preserve"> No Signature*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D62F92" w:rsidRPr="00637448">
              <w:rPr>
                <w:color w:val="000000"/>
                <w:szCs w:val="24"/>
              </w:rPr>
              <w:t>3</w:t>
            </w:r>
            <w:r w:rsidRPr="00637448">
              <w:rPr>
                <w:color w:val="000000"/>
                <w:szCs w:val="24"/>
              </w:rPr>
              <w:t xml:space="preserve">] NC (67) Aβ Positive </w:t>
            </w:r>
            <w:r w:rsidR="007173C1">
              <w:rPr>
                <w:color w:val="000000"/>
                <w:szCs w:val="24"/>
              </w:rPr>
              <w:t>versus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D62F92" w:rsidRPr="00637448">
              <w:rPr>
                <w:color w:val="000000"/>
                <w:szCs w:val="24"/>
              </w:rPr>
              <w:t>4</w:t>
            </w:r>
            <w:r w:rsidRPr="00637448">
              <w:rPr>
                <w:color w:val="000000"/>
                <w:szCs w:val="24"/>
              </w:rPr>
              <w:t xml:space="preserve">] NC (67) Aβ Positive </w:t>
            </w:r>
            <w:r w:rsidR="007173C1">
              <w:rPr>
                <w:color w:val="000000"/>
                <w:szCs w:val="24"/>
              </w:rPr>
              <w:t>versus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7</w:t>
            </w:r>
            <w:r w:rsidRPr="00637448">
              <w:rPr>
                <w:color w:val="000000"/>
                <w:szCs w:val="24"/>
              </w:rPr>
              <w:t xml:space="preserve">] NC (76) Aβ Positive </w:t>
            </w:r>
            <w:r w:rsidR="007173C1">
              <w:rPr>
                <w:color w:val="000000"/>
                <w:szCs w:val="24"/>
              </w:rPr>
              <w:t>versus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D62F92" w:rsidRPr="00637448">
              <w:rPr>
                <w:color w:val="000000"/>
                <w:szCs w:val="24"/>
              </w:rPr>
              <w:t>8</w:t>
            </w:r>
            <w:r w:rsidRPr="00637448">
              <w:rPr>
                <w:color w:val="000000"/>
                <w:szCs w:val="24"/>
              </w:rPr>
              <w:t xml:space="preserve">] NC (36) 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D62F92" w:rsidRPr="00637448">
              <w:rPr>
                <w:color w:val="000000"/>
                <w:szCs w:val="24"/>
              </w:rPr>
              <w:t>8</w:t>
            </w:r>
            <w:r w:rsidRPr="00637448">
              <w:rPr>
                <w:color w:val="000000"/>
                <w:szCs w:val="24"/>
              </w:rPr>
              <w:t xml:space="preserve">] NC (104) Brain Glucose Metabolism*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 xml:space="preserve">[26] NC (229) 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Age*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Male*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Education*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NC (191) APOE</w:t>
            </w:r>
            <w:r w:rsidR="007173C1">
              <w:rPr>
                <w:color w:val="000000"/>
                <w:szCs w:val="24"/>
              </w:rPr>
              <w:t xml:space="preserve"> </w:t>
            </w:r>
            <w:r w:rsidR="007173C1">
              <w:rPr>
                <w:color w:val="000000"/>
                <w:szCs w:val="24"/>
              </w:rPr>
              <w:sym w:font="Symbol" w:char="F065"/>
            </w:r>
            <w:r w:rsidRPr="00637448">
              <w:rPr>
                <w:color w:val="000000"/>
                <w:szCs w:val="24"/>
              </w:rPr>
              <w:t xml:space="preserve">4 allele*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Category (Animal) Fluency*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Whole Brain Volume*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(186) Hippocampal Volume*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(188) t-Tau*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p-Tau*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007173C1">
              <w:rPr>
                <w:color w:val="000000"/>
                <w:szCs w:val="24"/>
              </w:rPr>
              <w:t>] NC (188) t-T</w:t>
            </w:r>
            <w:r w:rsidRPr="00637448">
              <w:rPr>
                <w:color w:val="000000"/>
                <w:szCs w:val="24"/>
              </w:rPr>
              <w:t xml:space="preserve">au/Aβ*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D62F92" w:rsidRPr="00637448">
              <w:rPr>
                <w:color w:val="000000"/>
                <w:szCs w:val="24"/>
              </w:rPr>
              <w:t>4</w:t>
            </w:r>
            <w:r w:rsidRPr="00637448">
              <w:rPr>
                <w:color w:val="000000"/>
                <w:szCs w:val="24"/>
              </w:rPr>
              <w:t xml:space="preserve">] NC (191) p-Tau/Aβ*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D62F92" w:rsidRPr="00637448">
              <w:rPr>
                <w:color w:val="000000"/>
                <w:szCs w:val="24"/>
              </w:rPr>
              <w:t>9</w:t>
            </w:r>
            <w:r w:rsidRPr="00637448">
              <w:rPr>
                <w:color w:val="000000"/>
                <w:szCs w:val="24"/>
              </w:rPr>
              <w:t>] NC</w:t>
            </w:r>
            <w:r w:rsidR="009B607E" w:rsidRPr="00637448">
              <w:rPr>
                <w:color w:val="000000"/>
                <w:szCs w:val="24"/>
              </w:rPr>
              <w:t xml:space="preserve"> Females (137) Serum Uric Acid</w:t>
            </w:r>
            <w:r w:rsidRPr="00637448">
              <w:rPr>
                <w:color w:val="000000"/>
                <w:szCs w:val="24"/>
              </w:rPr>
              <w:t>*</w:t>
            </w:r>
          </w:p>
        </w:tc>
      </w:tr>
      <w:tr w:rsidR="007173C1" w:rsidRPr="00637448" w:rsidTr="007173C1">
        <w:trPr>
          <w:trHeight w:val="288"/>
        </w:trPr>
        <w:tc>
          <w:tcPr>
            <w:tcW w:w="9398" w:type="dxa"/>
            <w:shd w:val="clear" w:color="auto" w:fill="auto"/>
          </w:tcPr>
          <w:p w:rsidR="005D5BB5" w:rsidRPr="00637448" w:rsidRDefault="00D62F92" w:rsidP="007173C1">
            <w:pPr>
              <w:tabs>
                <w:tab w:val="left" w:pos="360"/>
              </w:tabs>
              <w:spacing w:before="0" w:line="240" w:lineRule="auto"/>
              <w:rPr>
                <w:color w:val="000000"/>
                <w:szCs w:val="24"/>
              </w:rPr>
            </w:pPr>
            <w:r w:rsidRPr="00637448">
              <w:rPr>
                <w:color w:val="000000"/>
                <w:szCs w:val="24"/>
              </w:rPr>
              <w:t>[31]</w:t>
            </w:r>
            <w:r w:rsidR="005D5BB5" w:rsidRPr="00637448">
              <w:rPr>
                <w:color w:val="000000"/>
                <w:szCs w:val="24"/>
              </w:rPr>
              <w:t xml:space="preserve"> NC (92) Posterior Cortical </w:t>
            </w:r>
            <w:proofErr w:type="spellStart"/>
            <w:r w:rsidR="005D5BB5" w:rsidRPr="00637448">
              <w:rPr>
                <w:color w:val="000000"/>
                <w:szCs w:val="24"/>
              </w:rPr>
              <w:t>Hypometabolism</w:t>
            </w:r>
            <w:proofErr w:type="spellEnd"/>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w:t>
            </w:r>
            <w:r w:rsidR="00D62F92" w:rsidRPr="00637448">
              <w:rPr>
                <w:color w:val="000000"/>
                <w:szCs w:val="24"/>
              </w:rPr>
              <w:t>60</w:t>
            </w:r>
            <w:r w:rsidRPr="00637448">
              <w:rPr>
                <w:color w:val="000000"/>
                <w:szCs w:val="24"/>
              </w:rPr>
              <w:t>] MCI (96) Melatonin v</w:t>
            </w:r>
            <w:r w:rsidR="007173C1">
              <w:rPr>
                <w:color w:val="000000"/>
                <w:szCs w:val="24"/>
              </w:rPr>
              <w:t>ersus</w:t>
            </w:r>
            <w:r w:rsidRPr="00637448">
              <w:rPr>
                <w:color w:val="000000"/>
                <w:szCs w:val="24"/>
              </w:rPr>
              <w:t xml:space="preserve"> None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[3</w:t>
            </w:r>
            <w:r w:rsidR="00D62F92" w:rsidRPr="00637448">
              <w:rPr>
                <w:color w:val="000000"/>
                <w:szCs w:val="24"/>
              </w:rPr>
              <w:t>5</w:t>
            </w:r>
            <w:r w:rsidRPr="00637448">
              <w:rPr>
                <w:color w:val="000000"/>
                <w:szCs w:val="24"/>
              </w:rPr>
              <w:t>] MCI (193) AD CSF Signature v</w:t>
            </w:r>
            <w:r w:rsidR="007173C1">
              <w:rPr>
                <w:color w:val="000000"/>
                <w:szCs w:val="24"/>
              </w:rPr>
              <w:t>ersu</w:t>
            </w:r>
            <w:r w:rsidRPr="00637448">
              <w:rPr>
                <w:color w:val="000000"/>
                <w:szCs w:val="24"/>
              </w:rPr>
              <w:t xml:space="preserve">s No Signature*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[3</w:t>
            </w:r>
            <w:r w:rsidR="00D62F92" w:rsidRPr="00637448">
              <w:rPr>
                <w:color w:val="000000"/>
                <w:szCs w:val="24"/>
              </w:rPr>
              <w:t>8</w:t>
            </w:r>
            <w:r w:rsidRPr="00637448">
              <w:rPr>
                <w:color w:val="000000"/>
                <w:szCs w:val="24"/>
              </w:rPr>
              <w:t xml:space="preserve">] MCI (286) BMI*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D62F92" w:rsidRPr="00637448">
              <w:rPr>
                <w:color w:val="000000"/>
                <w:szCs w:val="24"/>
              </w:rPr>
              <w:t>3</w:t>
            </w:r>
            <w:r w:rsidRPr="00637448">
              <w:rPr>
                <w:color w:val="000000"/>
                <w:szCs w:val="24"/>
              </w:rPr>
              <w:t>] MCI (46) Aβ positive v</w:t>
            </w:r>
            <w:r w:rsidR="007173C1">
              <w:rPr>
                <w:color w:val="000000"/>
                <w:szCs w:val="24"/>
              </w:rPr>
              <w:t>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D62F92" w:rsidRPr="00637448">
              <w:rPr>
                <w:color w:val="000000"/>
                <w:szCs w:val="24"/>
              </w:rPr>
              <w:t>3</w:t>
            </w:r>
            <w:r w:rsidRPr="00637448">
              <w:rPr>
                <w:color w:val="000000"/>
                <w:szCs w:val="24"/>
              </w:rPr>
              <w:t xml:space="preserve">] MCI (46) </w:t>
            </w:r>
            <w:proofErr w:type="spellStart"/>
            <w:r w:rsidRPr="00637448">
              <w:rPr>
                <w:color w:val="000000"/>
                <w:szCs w:val="24"/>
              </w:rPr>
              <w:t>Florbetapir</w:t>
            </w:r>
            <w:proofErr w:type="spellEnd"/>
            <w:r w:rsidRPr="00637448">
              <w:rPr>
                <w:color w:val="000000"/>
                <w:szCs w:val="24"/>
              </w:rPr>
              <w:t xml:space="preserve"> </w:t>
            </w:r>
            <w:proofErr w:type="spellStart"/>
            <w:r w:rsidRPr="00637448">
              <w:rPr>
                <w:color w:val="000000"/>
                <w:szCs w:val="24"/>
              </w:rPr>
              <w:t>SUVr</w:t>
            </w:r>
            <w:proofErr w:type="spellEnd"/>
            <w:r w:rsidRPr="00637448">
              <w:rPr>
                <w:color w:val="000000"/>
                <w:szCs w:val="24"/>
              </w:rPr>
              <w:t xml:space="preser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D62F92" w:rsidRPr="00637448">
              <w:rPr>
                <w:color w:val="000000"/>
                <w:szCs w:val="24"/>
              </w:rPr>
              <w:t>4</w:t>
            </w:r>
            <w:r w:rsidRPr="00637448">
              <w:rPr>
                <w:color w:val="000000"/>
                <w:szCs w:val="24"/>
              </w:rPr>
              <w:t xml:space="preserve">] MCI (46) Aβ positive </w:t>
            </w:r>
            <w:r w:rsidR="007173C1">
              <w:rPr>
                <w:color w:val="000000"/>
                <w:szCs w:val="24"/>
              </w:rPr>
              <w:t>versus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[3</w:t>
            </w:r>
            <w:r w:rsidR="00D62F92" w:rsidRPr="00637448">
              <w:rPr>
                <w:color w:val="000000"/>
                <w:szCs w:val="24"/>
              </w:rPr>
              <w:t>3</w:t>
            </w:r>
            <w:r w:rsidRPr="00637448">
              <w:rPr>
                <w:color w:val="000000"/>
                <w:szCs w:val="24"/>
              </w:rPr>
              <w:t xml:space="preserve">] MCI (231) Brain Atrophy Rates*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[3</w:t>
            </w:r>
            <w:r w:rsidR="00D62F92" w:rsidRPr="00637448">
              <w:rPr>
                <w:color w:val="000000"/>
                <w:szCs w:val="24"/>
              </w:rPr>
              <w:t>3</w:t>
            </w:r>
            <w:r w:rsidRPr="00637448">
              <w:rPr>
                <w:color w:val="000000"/>
                <w:szCs w:val="24"/>
              </w:rPr>
              <w:t xml:space="preserve">] MCI (231) Ventricular Expansion*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w:t>
            </w:r>
            <w:r w:rsidR="00D62F92" w:rsidRPr="00637448">
              <w:rPr>
                <w:color w:val="000000"/>
                <w:szCs w:val="24"/>
              </w:rPr>
              <w:t>61</w:t>
            </w:r>
            <w:r w:rsidRPr="00637448">
              <w:rPr>
                <w:color w:val="000000"/>
                <w:szCs w:val="24"/>
              </w:rPr>
              <w:t xml:space="preserve">] MCI (50) Melatonin </w:t>
            </w:r>
            <w:r w:rsidR="007173C1">
              <w:rPr>
                <w:color w:val="000000"/>
                <w:szCs w:val="24"/>
              </w:rPr>
              <w:t>versus</w:t>
            </w:r>
            <w:r w:rsidRPr="00637448">
              <w:rPr>
                <w:color w:val="000000"/>
                <w:szCs w:val="24"/>
              </w:rPr>
              <w:t xml:space="preserve"> None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 xml:space="preserve">[24] MCI </w:t>
            </w:r>
            <w:r w:rsidRPr="00637448">
              <w:rPr>
                <w:szCs w:val="24"/>
              </w:rPr>
              <w:t>(94)</w:t>
            </w:r>
            <w:bookmarkStart w:id="3" w:name="_Toc487280862"/>
            <w:r w:rsidRPr="00637448">
              <w:rPr>
                <w:szCs w:val="24"/>
              </w:rPr>
              <w:t xml:space="preserve"> Progressive </w:t>
            </w:r>
            <w:r w:rsidR="007173C1">
              <w:rPr>
                <w:szCs w:val="24"/>
              </w:rPr>
              <w:t>versus</w:t>
            </w:r>
            <w:r w:rsidRPr="00637448">
              <w:rPr>
                <w:szCs w:val="24"/>
              </w:rPr>
              <w:t xml:space="preserve"> Non-Progressive MCI</w:t>
            </w:r>
            <w:bookmarkEnd w:id="3"/>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[4</w:t>
            </w:r>
            <w:r w:rsidR="00316B40" w:rsidRPr="00637448">
              <w:rPr>
                <w:color w:val="000000"/>
                <w:szCs w:val="24"/>
              </w:rPr>
              <w:t>2</w:t>
            </w:r>
            <w:r w:rsidRPr="00637448">
              <w:rPr>
                <w:color w:val="000000"/>
                <w:szCs w:val="24"/>
              </w:rPr>
              <w:t>] MCI (1171)</w:t>
            </w:r>
            <w:r w:rsidRPr="00637448">
              <w:rPr>
                <w:color w:val="000000"/>
                <w:szCs w:val="24"/>
                <w:vertAlign w:val="superscript"/>
              </w:rPr>
              <w:t xml:space="preserve"> </w:t>
            </w:r>
            <w:r w:rsidRPr="00637448">
              <w:rPr>
                <w:color w:val="000000"/>
                <w:szCs w:val="24"/>
              </w:rPr>
              <w:t>APOE</w:t>
            </w:r>
            <w:r w:rsidR="00A92CD6">
              <w:rPr>
                <w:color w:val="000000"/>
                <w:szCs w:val="24"/>
              </w:rPr>
              <w:t xml:space="preserve"> </w:t>
            </w:r>
            <w:r w:rsidR="00A92CD6">
              <w:rPr>
                <w:color w:val="000000"/>
                <w:szCs w:val="24"/>
              </w:rPr>
              <w:sym w:font="Symbol" w:char="F065"/>
            </w:r>
            <w:r w:rsidRPr="00637448">
              <w:rPr>
                <w:color w:val="000000"/>
                <w:szCs w:val="24"/>
              </w:rPr>
              <w:t xml:space="preserve">4 allele Present </w:t>
            </w:r>
            <w:r w:rsidR="007173C1">
              <w:rPr>
                <w:color w:val="000000"/>
                <w:szCs w:val="24"/>
              </w:rPr>
              <w:t>versus</w:t>
            </w:r>
            <w:r w:rsidRPr="00637448">
              <w:rPr>
                <w:color w:val="000000"/>
                <w:szCs w:val="24"/>
              </w:rPr>
              <w:t xml:space="preserve"> Absent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[3</w:t>
            </w:r>
            <w:r w:rsidR="00316B40" w:rsidRPr="00637448">
              <w:rPr>
                <w:color w:val="000000"/>
                <w:szCs w:val="24"/>
              </w:rPr>
              <w:t>7</w:t>
            </w:r>
            <w:r w:rsidRPr="00637448">
              <w:rPr>
                <w:color w:val="000000"/>
                <w:szCs w:val="24"/>
              </w:rPr>
              <w:t xml:space="preserve">] MCI (81) Aβ Positive </w:t>
            </w:r>
            <w:r w:rsidR="007173C1">
              <w:rPr>
                <w:color w:val="000000"/>
                <w:szCs w:val="24"/>
              </w:rPr>
              <w:t>versus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[3</w:t>
            </w:r>
            <w:r w:rsidR="00316B40" w:rsidRPr="00637448">
              <w:rPr>
                <w:color w:val="000000"/>
                <w:szCs w:val="24"/>
              </w:rPr>
              <w:t>7</w:t>
            </w:r>
            <w:r w:rsidRPr="00637448">
              <w:rPr>
                <w:color w:val="000000"/>
                <w:szCs w:val="24"/>
              </w:rPr>
              <w:t xml:space="preserve">] MCI (81) Brain Glucose </w:t>
            </w:r>
            <w:proofErr w:type="spellStart"/>
            <w:r w:rsidRPr="00637448">
              <w:rPr>
                <w:color w:val="000000"/>
                <w:szCs w:val="24"/>
              </w:rPr>
              <w:t>Hypometabolism</w:t>
            </w:r>
            <w:proofErr w:type="spellEnd"/>
            <w:r w:rsidRPr="00637448">
              <w:rPr>
                <w:color w:val="000000"/>
                <w:szCs w:val="24"/>
              </w:rPr>
              <w:t xml:space="preserve"> Positive </w:t>
            </w:r>
            <w:r w:rsidR="007173C1">
              <w:rPr>
                <w:color w:val="000000"/>
                <w:szCs w:val="24"/>
              </w:rPr>
              <w:t>versus</w:t>
            </w:r>
            <w:r w:rsidRPr="00637448">
              <w:rPr>
                <w:color w:val="000000"/>
                <w:szCs w:val="24"/>
              </w:rPr>
              <w:t xml:space="preserve"> Negative*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316B40" w:rsidRPr="00637448">
              <w:rPr>
                <w:color w:val="000000"/>
                <w:szCs w:val="24"/>
              </w:rPr>
              <w:t>8</w:t>
            </w:r>
            <w:r w:rsidRPr="00637448">
              <w:rPr>
                <w:color w:val="000000"/>
                <w:szCs w:val="24"/>
              </w:rPr>
              <w:t xml:space="preserve">] MCI (54) 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316B40" w:rsidRPr="00637448">
              <w:rPr>
                <w:color w:val="000000"/>
                <w:szCs w:val="24"/>
              </w:rPr>
              <w:t>8</w:t>
            </w:r>
            <w:r w:rsidRPr="00637448">
              <w:rPr>
                <w:color w:val="000000"/>
                <w:szCs w:val="24"/>
              </w:rPr>
              <w:t xml:space="preserve">] MCI (203) Brain Glucose Metabolism*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316B40" w:rsidRPr="00637448">
              <w:rPr>
                <w:color w:val="000000"/>
                <w:szCs w:val="24"/>
              </w:rPr>
              <w:t>8</w:t>
            </w:r>
            <w:r w:rsidRPr="00637448">
              <w:rPr>
                <w:color w:val="000000"/>
                <w:szCs w:val="24"/>
              </w:rPr>
              <w:t xml:space="preserve">] MCI (390) Hippocampal Volume*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lastRenderedPageBreak/>
              <w:t xml:space="preserve">[26] MCI (398) Aβ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[4</w:t>
            </w:r>
            <w:r w:rsidR="00316B40" w:rsidRPr="00637448">
              <w:rPr>
                <w:color w:val="000000"/>
                <w:szCs w:val="24"/>
              </w:rPr>
              <w:t>5</w:t>
            </w:r>
            <w:r w:rsidRPr="00637448">
              <w:rPr>
                <w:color w:val="000000"/>
                <w:szCs w:val="24"/>
              </w:rPr>
              <w:t xml:space="preserve">] MCI (173) CSF </w:t>
            </w:r>
            <w:proofErr w:type="spellStart"/>
            <w:r w:rsidRPr="00637448">
              <w:rPr>
                <w:color w:val="000000"/>
                <w:szCs w:val="24"/>
              </w:rPr>
              <w:t>Neurogranin</w:t>
            </w:r>
            <w:proofErr w:type="spellEnd"/>
            <w:r w:rsidRPr="00637448">
              <w:rPr>
                <w:color w:val="000000"/>
                <w:szCs w:val="24"/>
              </w:rPr>
              <w:t xml:space="preserve"> Quartiles*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[4</w:t>
            </w:r>
            <w:r w:rsidR="00316B40" w:rsidRPr="00637448">
              <w:rPr>
                <w:color w:val="000000"/>
                <w:szCs w:val="24"/>
              </w:rPr>
              <w:t>8</w:t>
            </w:r>
            <w:r w:rsidRPr="00637448">
              <w:rPr>
                <w:color w:val="000000"/>
                <w:szCs w:val="24"/>
              </w:rPr>
              <w:t xml:space="preserve">] MCI (392) </w:t>
            </w:r>
            <w:proofErr w:type="spellStart"/>
            <w:r w:rsidRPr="00637448">
              <w:rPr>
                <w:color w:val="000000"/>
                <w:szCs w:val="24"/>
              </w:rPr>
              <w:t>ChEIs</w:t>
            </w:r>
            <w:proofErr w:type="spellEnd"/>
            <w:r w:rsidRPr="00637448">
              <w:rPr>
                <w:color w:val="000000"/>
                <w:szCs w:val="24"/>
              </w:rPr>
              <w:t xml:space="preserve"> </w:t>
            </w:r>
            <w:r w:rsidR="007173C1">
              <w:rPr>
                <w:color w:val="000000"/>
                <w:szCs w:val="24"/>
              </w:rPr>
              <w:t>versus</w:t>
            </w:r>
            <w:r w:rsidRPr="00637448">
              <w:rPr>
                <w:color w:val="000000"/>
                <w:szCs w:val="24"/>
              </w:rPr>
              <w:t xml:space="preserve"> None*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[4</w:t>
            </w:r>
            <w:r w:rsidR="00316B40" w:rsidRPr="00637448">
              <w:rPr>
                <w:color w:val="000000"/>
                <w:szCs w:val="24"/>
              </w:rPr>
              <w:t>9</w:t>
            </w:r>
            <w:r w:rsidRPr="00637448">
              <w:rPr>
                <w:color w:val="000000"/>
                <w:szCs w:val="24"/>
              </w:rPr>
              <w:t xml:space="preserve">] MCI (160) CSF levels Complement 3*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[4</w:t>
            </w:r>
            <w:r w:rsidR="00316B40" w:rsidRPr="00637448">
              <w:rPr>
                <w:color w:val="000000"/>
                <w:szCs w:val="24"/>
              </w:rPr>
              <w:t>9</w:t>
            </w:r>
            <w:r w:rsidRPr="00637448">
              <w:rPr>
                <w:color w:val="000000"/>
                <w:szCs w:val="24"/>
              </w:rPr>
              <w:t xml:space="preserve">] MCI (160) CSF levels Factor H*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w:t>
            </w:r>
            <w:r w:rsidR="00316B40" w:rsidRPr="00637448">
              <w:rPr>
                <w:color w:val="000000"/>
                <w:szCs w:val="24"/>
              </w:rPr>
              <w:t>50</w:t>
            </w:r>
            <w:r w:rsidRPr="00637448">
              <w:rPr>
                <w:color w:val="000000"/>
                <w:szCs w:val="24"/>
              </w:rPr>
              <w:t xml:space="preserve">] MCI </w:t>
            </w:r>
            <w:r w:rsidRPr="00637448">
              <w:rPr>
                <w:szCs w:val="24"/>
              </w:rPr>
              <w:t>(516)</w:t>
            </w:r>
            <w:bookmarkStart w:id="4" w:name="_Toc487280863"/>
            <w:bookmarkStart w:id="5" w:name="_Toc487280980"/>
            <w:r w:rsidRPr="00637448">
              <w:rPr>
                <w:szCs w:val="24"/>
              </w:rPr>
              <w:t xml:space="preserve"> APOE</w:t>
            </w:r>
            <w:r w:rsidR="007173C1">
              <w:rPr>
                <w:szCs w:val="24"/>
              </w:rPr>
              <w:t xml:space="preserve"> </w:t>
            </w:r>
            <w:r w:rsidR="007173C1">
              <w:rPr>
                <w:szCs w:val="24"/>
              </w:rPr>
              <w:sym w:font="Symbol" w:char="F065"/>
            </w:r>
            <w:r w:rsidRPr="00637448">
              <w:rPr>
                <w:szCs w:val="24"/>
              </w:rPr>
              <w:t xml:space="preserve">4 Allele Present </w:t>
            </w:r>
            <w:r w:rsidR="007173C1">
              <w:rPr>
                <w:szCs w:val="24"/>
              </w:rPr>
              <w:t>versus</w:t>
            </w:r>
            <w:r w:rsidRPr="00637448">
              <w:rPr>
                <w:szCs w:val="24"/>
              </w:rPr>
              <w:t xml:space="preserve"> </w:t>
            </w:r>
            <w:bookmarkEnd w:id="4"/>
            <w:bookmarkEnd w:id="5"/>
            <w:r w:rsidRPr="00637448">
              <w:rPr>
                <w:szCs w:val="24"/>
              </w:rPr>
              <w:t xml:space="preserve">Absent*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highlight w:val="yellow"/>
              </w:rPr>
            </w:pPr>
            <w:r w:rsidRPr="00637448">
              <w:rPr>
                <w:color w:val="000000"/>
                <w:szCs w:val="24"/>
              </w:rPr>
              <w:t>[5</w:t>
            </w:r>
            <w:r w:rsidR="00316B40" w:rsidRPr="00637448">
              <w:rPr>
                <w:color w:val="000000"/>
                <w:szCs w:val="24"/>
              </w:rPr>
              <w:t>9</w:t>
            </w:r>
            <w:r w:rsidRPr="00637448">
              <w:rPr>
                <w:color w:val="000000"/>
                <w:szCs w:val="24"/>
              </w:rPr>
              <w:t>] MCI</w:t>
            </w:r>
            <w:r w:rsidR="0041797A" w:rsidRPr="00637448">
              <w:rPr>
                <w:color w:val="000000"/>
                <w:szCs w:val="24"/>
              </w:rPr>
              <w:t xml:space="preserve"> Females</w:t>
            </w:r>
            <w:r w:rsidRPr="00637448">
              <w:rPr>
                <w:color w:val="000000"/>
                <w:szCs w:val="24"/>
              </w:rPr>
              <w:t xml:space="preserve"> (244) Serum Uric Acid*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 xml:space="preserve">[19] MCI (102) </w:t>
            </w:r>
            <w:proofErr w:type="spellStart"/>
            <w:r w:rsidRPr="00637448">
              <w:rPr>
                <w:color w:val="000000"/>
                <w:szCs w:val="24"/>
              </w:rPr>
              <w:t>Phytotherapeutic</w:t>
            </w:r>
            <w:proofErr w:type="spellEnd"/>
            <w:r w:rsidRPr="00637448">
              <w:rPr>
                <w:color w:val="000000"/>
                <w:szCs w:val="24"/>
              </w:rPr>
              <w:t xml:space="preserve"> Compound plus </w:t>
            </w:r>
            <w:proofErr w:type="spellStart"/>
            <w:r w:rsidRPr="00637448">
              <w:rPr>
                <w:color w:val="000000"/>
                <w:szCs w:val="24"/>
              </w:rPr>
              <w:t>Phosphatidyl</w:t>
            </w:r>
            <w:proofErr w:type="spellEnd"/>
            <w:r w:rsidR="0041797A" w:rsidRPr="00637448">
              <w:rPr>
                <w:color w:val="000000"/>
                <w:szCs w:val="24"/>
              </w:rPr>
              <w:t xml:space="preserve"> </w:t>
            </w:r>
            <w:r w:rsidRPr="00637448">
              <w:rPr>
                <w:color w:val="000000"/>
                <w:szCs w:val="24"/>
              </w:rPr>
              <w:t xml:space="preserve">Serine and Vitamin E </w:t>
            </w:r>
            <w:r w:rsidR="007173C1">
              <w:rPr>
                <w:color w:val="000000"/>
                <w:szCs w:val="24"/>
              </w:rPr>
              <w:t>versus</w:t>
            </w:r>
            <w:r w:rsidRPr="00637448">
              <w:rPr>
                <w:color w:val="000000"/>
                <w:szCs w:val="24"/>
              </w:rPr>
              <w:t xml:space="preserve"> Placebo </w:t>
            </w:r>
          </w:p>
        </w:tc>
      </w:tr>
      <w:tr w:rsidR="007173C1" w:rsidRPr="00637448" w:rsidTr="007173C1">
        <w:trPr>
          <w:trHeight w:val="288"/>
        </w:trPr>
        <w:tc>
          <w:tcPr>
            <w:tcW w:w="9398" w:type="dxa"/>
            <w:shd w:val="clear" w:color="auto" w:fill="auto"/>
          </w:tcPr>
          <w:p w:rsidR="005D5BB5" w:rsidRPr="00637448" w:rsidRDefault="00316B40" w:rsidP="007173C1">
            <w:pPr>
              <w:tabs>
                <w:tab w:val="left" w:pos="360"/>
              </w:tabs>
              <w:spacing w:before="0" w:line="240" w:lineRule="auto"/>
              <w:rPr>
                <w:color w:val="000000"/>
                <w:szCs w:val="24"/>
              </w:rPr>
            </w:pPr>
            <w:r w:rsidRPr="00637448">
              <w:rPr>
                <w:color w:val="000000"/>
                <w:szCs w:val="24"/>
              </w:rPr>
              <w:t>[55]</w:t>
            </w:r>
            <w:r w:rsidR="005D5BB5" w:rsidRPr="00637448">
              <w:rPr>
                <w:color w:val="000000"/>
                <w:szCs w:val="24"/>
              </w:rPr>
              <w:t xml:space="preserve"> MCI (101) </w:t>
            </w:r>
            <w:proofErr w:type="spellStart"/>
            <w:r w:rsidR="005D5BB5" w:rsidRPr="00637448">
              <w:rPr>
                <w:color w:val="000000"/>
                <w:szCs w:val="24"/>
              </w:rPr>
              <w:t>Subsyndromal</w:t>
            </w:r>
            <w:proofErr w:type="spellEnd"/>
            <w:r w:rsidR="005D5BB5" w:rsidRPr="00637448">
              <w:rPr>
                <w:color w:val="000000"/>
                <w:szCs w:val="24"/>
              </w:rPr>
              <w:t xml:space="preserve"> symptoms of depression </w:t>
            </w:r>
            <w:r w:rsidR="007173C1">
              <w:rPr>
                <w:color w:val="000000"/>
                <w:szCs w:val="24"/>
              </w:rPr>
              <w:t>versus</w:t>
            </w:r>
            <w:r w:rsidR="005D5BB5" w:rsidRPr="00637448">
              <w:rPr>
                <w:color w:val="000000"/>
                <w:szCs w:val="24"/>
              </w:rPr>
              <w:t xml:space="preserve"> </w:t>
            </w:r>
            <w:r w:rsidR="0041797A" w:rsidRPr="00637448">
              <w:rPr>
                <w:color w:val="000000"/>
                <w:szCs w:val="24"/>
              </w:rPr>
              <w:t>None</w:t>
            </w:r>
            <w:r w:rsidR="00BD35AC" w:rsidRPr="00637448">
              <w:rPr>
                <w:color w:val="000000"/>
                <w:szCs w:val="24"/>
              </w:rPr>
              <w:t>*</w:t>
            </w:r>
            <w:r w:rsidR="005D5BB5" w:rsidRPr="00637448">
              <w:rPr>
                <w:color w:val="000000"/>
                <w:szCs w:val="24"/>
              </w:rPr>
              <w:t xml:space="preserve"> </w:t>
            </w:r>
          </w:p>
        </w:tc>
      </w:tr>
      <w:tr w:rsidR="007173C1" w:rsidRPr="00637448" w:rsidTr="007173C1">
        <w:trPr>
          <w:trHeight w:val="288"/>
        </w:trPr>
        <w:tc>
          <w:tcPr>
            <w:tcW w:w="9398" w:type="dxa"/>
            <w:shd w:val="clear" w:color="auto" w:fill="auto"/>
          </w:tcPr>
          <w:p w:rsidR="005D5BB5" w:rsidRPr="00637448" w:rsidRDefault="00316B40" w:rsidP="007173C1">
            <w:pPr>
              <w:tabs>
                <w:tab w:val="left" w:pos="360"/>
              </w:tabs>
              <w:spacing w:before="0" w:line="240" w:lineRule="auto"/>
              <w:rPr>
                <w:color w:val="000000"/>
                <w:szCs w:val="24"/>
              </w:rPr>
            </w:pPr>
            <w:r w:rsidRPr="00637448">
              <w:rPr>
                <w:color w:val="000000"/>
                <w:szCs w:val="24"/>
              </w:rPr>
              <w:t>[57]</w:t>
            </w:r>
            <w:r w:rsidR="005D5BB5" w:rsidRPr="00637448">
              <w:rPr>
                <w:color w:val="000000"/>
                <w:szCs w:val="24"/>
              </w:rPr>
              <w:t xml:space="preserve"> MCI Amyloid + subgroup (186) Depressed </w:t>
            </w:r>
            <w:r w:rsidR="007173C1">
              <w:rPr>
                <w:color w:val="000000"/>
                <w:szCs w:val="24"/>
              </w:rPr>
              <w:t>versus</w:t>
            </w:r>
            <w:r w:rsidR="005D5BB5" w:rsidRPr="00637448">
              <w:rPr>
                <w:color w:val="000000"/>
                <w:szCs w:val="24"/>
              </w:rPr>
              <w:t xml:space="preserve"> Non-Depressed </w:t>
            </w:r>
          </w:p>
        </w:tc>
      </w:tr>
      <w:tr w:rsidR="007173C1" w:rsidRPr="00637448" w:rsidTr="007173C1">
        <w:trPr>
          <w:trHeight w:val="288"/>
        </w:trPr>
        <w:tc>
          <w:tcPr>
            <w:tcW w:w="9398" w:type="dxa"/>
            <w:shd w:val="clear" w:color="auto" w:fill="auto"/>
          </w:tcPr>
          <w:p w:rsidR="005D5BB5" w:rsidRPr="00637448" w:rsidRDefault="00316B40" w:rsidP="007173C1">
            <w:pPr>
              <w:tabs>
                <w:tab w:val="left" w:pos="360"/>
              </w:tabs>
              <w:spacing w:before="0" w:line="240" w:lineRule="auto"/>
              <w:rPr>
                <w:color w:val="000000"/>
                <w:szCs w:val="24"/>
              </w:rPr>
            </w:pPr>
            <w:r w:rsidRPr="00637448">
              <w:rPr>
                <w:color w:val="000000"/>
                <w:szCs w:val="24"/>
              </w:rPr>
              <w:t>[31]</w:t>
            </w:r>
            <w:r w:rsidR="005D5BB5" w:rsidRPr="00637448">
              <w:rPr>
                <w:color w:val="000000"/>
                <w:szCs w:val="24"/>
              </w:rPr>
              <w:t xml:space="preserve"> MCI (184) Posterior Cortical </w:t>
            </w:r>
            <w:proofErr w:type="spellStart"/>
            <w:r w:rsidR="005D5BB5" w:rsidRPr="00637448">
              <w:rPr>
                <w:color w:val="000000"/>
                <w:szCs w:val="24"/>
              </w:rPr>
              <w:t>Hypometabolism</w:t>
            </w:r>
            <w:proofErr w:type="spellEnd"/>
            <w:r w:rsidR="005D5BB5" w:rsidRPr="00637448">
              <w:rPr>
                <w:color w:val="000000"/>
                <w:szCs w:val="24"/>
              </w:rPr>
              <w:t xml:space="preserve"> </w:t>
            </w:r>
          </w:p>
        </w:tc>
      </w:tr>
      <w:tr w:rsidR="007173C1" w:rsidRPr="00637448" w:rsidTr="007173C1">
        <w:trPr>
          <w:trHeight w:val="288"/>
        </w:trPr>
        <w:tc>
          <w:tcPr>
            <w:tcW w:w="9398" w:type="dxa"/>
            <w:shd w:val="clear" w:color="auto" w:fill="AEAAAA" w:themeFill="background2" w:themeFillShade="BF"/>
          </w:tcPr>
          <w:p w:rsidR="005D5BB5" w:rsidRPr="00637448" w:rsidRDefault="005D5BB5" w:rsidP="007173C1">
            <w:pPr>
              <w:tabs>
                <w:tab w:val="left" w:pos="360"/>
              </w:tabs>
              <w:spacing w:before="0" w:line="240" w:lineRule="auto"/>
              <w:rPr>
                <w:b/>
                <w:color w:val="000000"/>
                <w:szCs w:val="24"/>
              </w:rPr>
            </w:pPr>
            <w:r w:rsidRPr="00637448">
              <w:rPr>
                <w:b/>
                <w:szCs w:val="24"/>
              </w:rPr>
              <w:t>Non-statistic</w:t>
            </w:r>
            <w:r w:rsidR="00A84A7C" w:rsidRPr="00637448">
              <w:rPr>
                <w:b/>
                <w:szCs w:val="24"/>
              </w:rPr>
              <w:t>ally significant association between exposure and</w:t>
            </w:r>
            <w:r w:rsidRPr="00637448">
              <w:rPr>
                <w:b/>
                <w:szCs w:val="24"/>
              </w:rPr>
              <w:t xml:space="preserve"> ADAS-Cog-11, where no other cognitive or bra</w:t>
            </w:r>
            <w:r w:rsidR="00A84A7C" w:rsidRPr="00637448">
              <w:rPr>
                <w:b/>
                <w:szCs w:val="24"/>
              </w:rPr>
              <w:t>in imaging outcome measure detected</w:t>
            </w:r>
            <w:r w:rsidRPr="00637448">
              <w:rPr>
                <w:b/>
                <w:szCs w:val="24"/>
              </w:rPr>
              <w:t xml:space="preserve"> a statistically significant association</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316B40" w:rsidRPr="00637448">
              <w:rPr>
                <w:color w:val="000000"/>
                <w:szCs w:val="24"/>
              </w:rPr>
              <w:t>3</w:t>
            </w:r>
            <w:r w:rsidRPr="00637448">
              <w:rPr>
                <w:color w:val="000000"/>
                <w:szCs w:val="24"/>
              </w:rPr>
              <w:t xml:space="preserve">] NC (67) </w:t>
            </w:r>
            <w:proofErr w:type="spellStart"/>
            <w:r w:rsidRPr="00637448">
              <w:rPr>
                <w:color w:val="000000"/>
                <w:szCs w:val="24"/>
              </w:rPr>
              <w:t>Florbetapir</w:t>
            </w:r>
            <w:proofErr w:type="spellEnd"/>
            <w:r w:rsidRPr="00637448">
              <w:rPr>
                <w:color w:val="000000"/>
                <w:szCs w:val="24"/>
              </w:rPr>
              <w:t xml:space="preserve"> </w:t>
            </w:r>
            <w:proofErr w:type="spellStart"/>
            <w:r w:rsidRPr="00637448">
              <w:rPr>
                <w:color w:val="000000"/>
                <w:szCs w:val="24"/>
              </w:rPr>
              <w:t>SUVr</w:t>
            </w:r>
            <w:proofErr w:type="spellEnd"/>
            <w:r w:rsidRPr="00637448">
              <w:rPr>
                <w:color w:val="000000"/>
                <w:szCs w:val="24"/>
              </w:rPr>
              <w:t xml:space="preser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7</w:t>
            </w:r>
            <w:r w:rsidRPr="00637448">
              <w:rPr>
                <w:color w:val="000000"/>
                <w:szCs w:val="24"/>
              </w:rPr>
              <w:t xml:space="preserve">] MCI (76) Brain </w:t>
            </w:r>
            <w:proofErr w:type="spellStart"/>
            <w:r w:rsidRPr="00637448">
              <w:rPr>
                <w:color w:val="000000"/>
                <w:szCs w:val="24"/>
              </w:rPr>
              <w:t>Hypometabolism</w:t>
            </w:r>
            <w:proofErr w:type="spellEnd"/>
            <w:r w:rsidRPr="00637448">
              <w:rPr>
                <w:color w:val="000000"/>
                <w:szCs w:val="24"/>
              </w:rPr>
              <w:t>*</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316B40" w:rsidRPr="00637448">
              <w:rPr>
                <w:color w:val="000000"/>
                <w:szCs w:val="24"/>
              </w:rPr>
              <w:t>8</w:t>
            </w:r>
            <w:r w:rsidRPr="00637448">
              <w:rPr>
                <w:color w:val="000000"/>
                <w:szCs w:val="24"/>
              </w:rPr>
              <w:t>] NC (228) Hippocampal Volume*</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NC (191) Race, white*</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MMSE*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ANART*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RAVLT trial 5*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RAVLT short recall*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TMT A or B*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NC (191) WMS Logical Memory (immediate or delayed)*</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Boston Naming Test*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4</w:t>
            </w:r>
            <w:r w:rsidRPr="00637448">
              <w:rPr>
                <w:color w:val="000000"/>
                <w:szCs w:val="24"/>
              </w:rPr>
              <w:t xml:space="preserve">] NC (191) Ventricle Volume* </w:t>
            </w:r>
          </w:p>
        </w:tc>
      </w:tr>
      <w:tr w:rsidR="007173C1" w:rsidRPr="00637448" w:rsidTr="007173C1">
        <w:trPr>
          <w:trHeight w:val="288"/>
        </w:trPr>
        <w:tc>
          <w:tcPr>
            <w:tcW w:w="9398" w:type="dxa"/>
            <w:shd w:val="clear" w:color="auto" w:fill="auto"/>
            <w:hideMark/>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316B40" w:rsidRPr="00637448">
              <w:rPr>
                <w:color w:val="000000"/>
                <w:szCs w:val="24"/>
              </w:rPr>
              <w:t>9</w:t>
            </w:r>
            <w:r w:rsidRPr="00637448">
              <w:rPr>
                <w:color w:val="000000"/>
                <w:szCs w:val="24"/>
              </w:rPr>
              <w:t>] NC</w:t>
            </w:r>
            <w:r w:rsidR="009B607E" w:rsidRPr="00637448">
              <w:rPr>
                <w:color w:val="000000"/>
                <w:szCs w:val="24"/>
              </w:rPr>
              <w:t xml:space="preserve"> Males (134) Serum Uric Acid</w:t>
            </w:r>
            <w:r w:rsidRPr="00637448">
              <w:rPr>
                <w:color w:val="000000"/>
                <w:szCs w:val="24"/>
              </w:rPr>
              <w:t xml:space="preser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51</w:t>
            </w:r>
            <w:r w:rsidRPr="00637448">
              <w:rPr>
                <w:color w:val="000000"/>
                <w:szCs w:val="24"/>
              </w:rPr>
              <w:t>] MCI (491) Lipid Lowering Medications*</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[3</w:t>
            </w:r>
            <w:r w:rsidR="00316B40" w:rsidRPr="00637448">
              <w:rPr>
                <w:color w:val="000000"/>
                <w:szCs w:val="24"/>
              </w:rPr>
              <w:t>9</w:t>
            </w:r>
            <w:r w:rsidRPr="00637448">
              <w:rPr>
                <w:color w:val="000000"/>
                <w:szCs w:val="24"/>
              </w:rPr>
              <w:t xml:space="preserve">] MCI (747) Plasma </w:t>
            </w:r>
            <w:proofErr w:type="spellStart"/>
            <w:r w:rsidRPr="00637448">
              <w:rPr>
                <w:color w:val="000000"/>
                <w:szCs w:val="24"/>
              </w:rPr>
              <w:t>Urate</w:t>
            </w:r>
            <w:proofErr w:type="spellEnd"/>
            <w:r w:rsidRPr="00637448">
              <w:rPr>
                <w:color w:val="000000"/>
                <w:szCs w:val="24"/>
              </w:rPr>
              <w:t>*</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[4</w:t>
            </w:r>
            <w:r w:rsidR="00316B40" w:rsidRPr="00637448">
              <w:rPr>
                <w:color w:val="000000"/>
                <w:szCs w:val="24"/>
              </w:rPr>
              <w:t>3</w:t>
            </w:r>
            <w:r w:rsidRPr="00637448">
              <w:rPr>
                <w:color w:val="000000"/>
                <w:szCs w:val="24"/>
              </w:rPr>
              <w:t xml:space="preserve">] MCI (405) </w:t>
            </w:r>
            <w:proofErr w:type="spellStart"/>
            <w:r w:rsidRPr="00637448">
              <w:rPr>
                <w:color w:val="000000"/>
                <w:szCs w:val="24"/>
              </w:rPr>
              <w:t>Subsyndromal</w:t>
            </w:r>
            <w:proofErr w:type="spellEnd"/>
            <w:r w:rsidRPr="00637448">
              <w:rPr>
                <w:color w:val="000000"/>
                <w:szCs w:val="24"/>
              </w:rPr>
              <w:t xml:space="preserve"> Symptoms of Depression </w:t>
            </w:r>
            <w:r w:rsidR="007173C1">
              <w:rPr>
                <w:color w:val="000000"/>
                <w:szCs w:val="24"/>
              </w:rPr>
              <w:t>versus</w:t>
            </w:r>
            <w:r w:rsidRPr="00637448">
              <w:rPr>
                <w:color w:val="000000"/>
                <w:szCs w:val="24"/>
              </w:rPr>
              <w:t xml:space="preserve"> None*</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[4</w:t>
            </w:r>
            <w:r w:rsidR="00316B40" w:rsidRPr="00637448">
              <w:rPr>
                <w:color w:val="000000"/>
                <w:szCs w:val="24"/>
              </w:rPr>
              <w:t>9</w:t>
            </w:r>
            <w:r w:rsidRPr="00637448">
              <w:rPr>
                <w:color w:val="000000"/>
                <w:szCs w:val="24"/>
              </w:rPr>
              <w:t>] MCI (160) Complement 3/Factor H*</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[5</w:t>
            </w:r>
            <w:r w:rsidR="00316B40" w:rsidRPr="00637448">
              <w:rPr>
                <w:color w:val="000000"/>
                <w:szCs w:val="24"/>
              </w:rPr>
              <w:t>9</w:t>
            </w:r>
            <w:r w:rsidRPr="00637448">
              <w:rPr>
                <w:color w:val="000000"/>
                <w:szCs w:val="24"/>
              </w:rPr>
              <w:t>] MCI</w:t>
            </w:r>
            <w:r w:rsidR="0041797A" w:rsidRPr="00637448">
              <w:rPr>
                <w:color w:val="000000"/>
                <w:szCs w:val="24"/>
              </w:rPr>
              <w:t xml:space="preserve"> Males</w:t>
            </w:r>
            <w:r w:rsidRPr="00637448">
              <w:rPr>
                <w:color w:val="000000"/>
                <w:szCs w:val="24"/>
              </w:rPr>
              <w:t xml:space="preserve"> (352) Serum Uric Acid*</w:t>
            </w:r>
          </w:p>
        </w:tc>
      </w:tr>
      <w:tr w:rsidR="007173C1" w:rsidRPr="00637448" w:rsidTr="007173C1">
        <w:trPr>
          <w:trHeight w:val="288"/>
        </w:trPr>
        <w:tc>
          <w:tcPr>
            <w:tcW w:w="9398" w:type="dxa"/>
            <w:shd w:val="clear" w:color="auto" w:fill="auto"/>
          </w:tcPr>
          <w:p w:rsidR="005D5BB5" w:rsidRPr="00637448" w:rsidRDefault="00316B40" w:rsidP="007173C1">
            <w:pPr>
              <w:tabs>
                <w:tab w:val="left" w:pos="360"/>
              </w:tabs>
              <w:spacing w:before="0" w:line="240" w:lineRule="auto"/>
              <w:rPr>
                <w:color w:val="000000"/>
                <w:szCs w:val="24"/>
              </w:rPr>
            </w:pPr>
            <w:r w:rsidRPr="00637448">
              <w:rPr>
                <w:color w:val="000000"/>
                <w:szCs w:val="24"/>
              </w:rPr>
              <w:t>[57]</w:t>
            </w:r>
            <w:r w:rsidR="005D5BB5" w:rsidRPr="00637448">
              <w:rPr>
                <w:color w:val="000000"/>
                <w:szCs w:val="24"/>
              </w:rPr>
              <w:t xml:space="preserve"> MCI Amyloid - subgroup (150) Depressed </w:t>
            </w:r>
            <w:r w:rsidR="007173C1">
              <w:rPr>
                <w:color w:val="000000"/>
                <w:szCs w:val="24"/>
              </w:rPr>
              <w:t>versus</w:t>
            </w:r>
            <w:r w:rsidR="005D5BB5" w:rsidRPr="00637448">
              <w:rPr>
                <w:color w:val="000000"/>
                <w:szCs w:val="24"/>
              </w:rPr>
              <w:t xml:space="preserve"> Non-Depressed</w:t>
            </w:r>
          </w:p>
        </w:tc>
      </w:tr>
      <w:tr w:rsidR="007173C1" w:rsidRPr="00637448" w:rsidTr="007173C1">
        <w:trPr>
          <w:trHeight w:val="288"/>
        </w:trPr>
        <w:tc>
          <w:tcPr>
            <w:tcW w:w="9398" w:type="dxa"/>
            <w:shd w:val="clear" w:color="auto" w:fill="AEAAAA" w:themeFill="background2" w:themeFillShade="BF"/>
          </w:tcPr>
          <w:p w:rsidR="005D5BB5" w:rsidRPr="00637448" w:rsidRDefault="005D5BB5" w:rsidP="007173C1">
            <w:pPr>
              <w:tabs>
                <w:tab w:val="left" w:pos="360"/>
              </w:tabs>
              <w:spacing w:before="0" w:line="240" w:lineRule="auto"/>
              <w:rPr>
                <w:b/>
                <w:color w:val="000000"/>
                <w:szCs w:val="24"/>
              </w:rPr>
            </w:pPr>
            <w:r w:rsidRPr="00637448">
              <w:rPr>
                <w:b/>
                <w:szCs w:val="24"/>
              </w:rPr>
              <w:t>Non-statistical</w:t>
            </w:r>
            <w:r w:rsidR="00A84A7C" w:rsidRPr="00637448">
              <w:rPr>
                <w:b/>
                <w:szCs w:val="24"/>
              </w:rPr>
              <w:t>ly significant association between exposure and</w:t>
            </w:r>
            <w:r w:rsidRPr="00637448">
              <w:rPr>
                <w:b/>
                <w:szCs w:val="24"/>
              </w:rPr>
              <w:t xml:space="preserve"> ADAS-Cog-11, where at least one other cognitive or brain imaging outcome measure detected a statistically significant association</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 xml:space="preserve">[24] MCI </w:t>
            </w:r>
            <w:r w:rsidRPr="00637448">
              <w:rPr>
                <w:szCs w:val="24"/>
              </w:rPr>
              <w:t>(94)</w:t>
            </w:r>
            <w:bookmarkStart w:id="6" w:name="_Toc487280861"/>
            <w:r w:rsidRPr="00637448">
              <w:rPr>
                <w:szCs w:val="24"/>
              </w:rPr>
              <w:t xml:space="preserve"> Progressive </w:t>
            </w:r>
            <w:r w:rsidR="007173C1">
              <w:rPr>
                <w:szCs w:val="24"/>
              </w:rPr>
              <w:t>versus</w:t>
            </w:r>
            <w:r w:rsidRPr="00637448">
              <w:rPr>
                <w:szCs w:val="24"/>
              </w:rPr>
              <w:t xml:space="preserve"> Non-Progressive MCI</w:t>
            </w:r>
            <w:bookmarkEnd w:id="6"/>
            <w:r w:rsidRPr="00637448">
              <w:rPr>
                <w:szCs w:val="24"/>
              </w:rPr>
              <w:t xml:space="preserv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[4</w:t>
            </w:r>
            <w:r w:rsidR="00316B40" w:rsidRPr="00637448">
              <w:rPr>
                <w:color w:val="000000"/>
                <w:szCs w:val="24"/>
              </w:rPr>
              <w:t>8</w:t>
            </w:r>
            <w:r w:rsidRPr="00637448">
              <w:rPr>
                <w:color w:val="000000"/>
                <w:szCs w:val="24"/>
              </w:rPr>
              <w:t xml:space="preserve">] MCI (251) </w:t>
            </w:r>
            <w:proofErr w:type="spellStart"/>
            <w:r w:rsidRPr="00637448">
              <w:rPr>
                <w:color w:val="000000"/>
                <w:szCs w:val="24"/>
              </w:rPr>
              <w:t>ChEI</w:t>
            </w:r>
            <w:proofErr w:type="spellEnd"/>
            <w:r w:rsidRPr="00637448">
              <w:rPr>
                <w:color w:val="000000"/>
                <w:szCs w:val="24"/>
              </w:rPr>
              <w:t xml:space="preserve"> and </w:t>
            </w:r>
            <w:proofErr w:type="spellStart"/>
            <w:r w:rsidRPr="00637448">
              <w:rPr>
                <w:color w:val="000000"/>
                <w:szCs w:val="24"/>
              </w:rPr>
              <w:t>Memantine</w:t>
            </w:r>
            <w:proofErr w:type="spellEnd"/>
            <w:r w:rsidRPr="00637448">
              <w:rPr>
                <w:color w:val="000000"/>
                <w:szCs w:val="24"/>
              </w:rPr>
              <w:t xml:space="preserve"> Hydrochloride </w:t>
            </w:r>
            <w:r w:rsidR="007173C1">
              <w:rPr>
                <w:color w:val="000000"/>
                <w:szCs w:val="24"/>
              </w:rPr>
              <w:t>versus</w:t>
            </w:r>
            <w:r w:rsidRPr="00637448">
              <w:rPr>
                <w:color w:val="000000"/>
                <w:szCs w:val="24"/>
              </w:rPr>
              <w:t xml:space="preserve"> None* </w:t>
            </w:r>
          </w:p>
        </w:tc>
      </w:tr>
      <w:tr w:rsidR="007173C1" w:rsidRPr="00637448" w:rsidTr="007173C1">
        <w:trPr>
          <w:trHeight w:val="288"/>
        </w:trPr>
        <w:tc>
          <w:tcPr>
            <w:tcW w:w="939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[4</w:t>
            </w:r>
            <w:r w:rsidR="00316B40" w:rsidRPr="00637448">
              <w:rPr>
                <w:color w:val="000000"/>
                <w:szCs w:val="24"/>
              </w:rPr>
              <w:t>8</w:t>
            </w:r>
            <w:r w:rsidRPr="00637448">
              <w:rPr>
                <w:color w:val="000000"/>
                <w:szCs w:val="24"/>
              </w:rPr>
              <w:t xml:space="preserve">] MCI (177) </w:t>
            </w:r>
            <w:proofErr w:type="spellStart"/>
            <w:r w:rsidRPr="00637448">
              <w:rPr>
                <w:color w:val="000000"/>
                <w:szCs w:val="24"/>
              </w:rPr>
              <w:t>ChEIs</w:t>
            </w:r>
            <w:proofErr w:type="spellEnd"/>
            <w:r w:rsidRPr="00637448">
              <w:rPr>
                <w:color w:val="000000"/>
                <w:szCs w:val="24"/>
              </w:rPr>
              <w:t xml:space="preserve"> and </w:t>
            </w:r>
            <w:proofErr w:type="spellStart"/>
            <w:r w:rsidRPr="00637448">
              <w:rPr>
                <w:color w:val="000000"/>
                <w:szCs w:val="24"/>
              </w:rPr>
              <w:t>Memantine</w:t>
            </w:r>
            <w:proofErr w:type="spellEnd"/>
            <w:r w:rsidRPr="00637448">
              <w:rPr>
                <w:color w:val="000000"/>
                <w:szCs w:val="24"/>
              </w:rPr>
              <w:t xml:space="preserve"> Hydrochloride </w:t>
            </w:r>
            <w:r w:rsidR="007173C1">
              <w:rPr>
                <w:color w:val="000000"/>
                <w:szCs w:val="24"/>
              </w:rPr>
              <w:t>versus</w:t>
            </w:r>
            <w:r w:rsidRPr="00637448">
              <w:rPr>
                <w:color w:val="000000"/>
                <w:szCs w:val="24"/>
              </w:rPr>
              <w:t xml:space="preserve"> </w:t>
            </w:r>
            <w:proofErr w:type="spellStart"/>
            <w:r w:rsidRPr="00637448">
              <w:rPr>
                <w:color w:val="000000"/>
                <w:szCs w:val="24"/>
              </w:rPr>
              <w:t>ChEIs</w:t>
            </w:r>
            <w:proofErr w:type="spellEnd"/>
            <w:r w:rsidRPr="00637448">
              <w:rPr>
                <w:color w:val="000000"/>
                <w:szCs w:val="24"/>
              </w:rPr>
              <w:t xml:space="preserve"> only </w:t>
            </w:r>
          </w:p>
        </w:tc>
      </w:tr>
    </w:tbl>
    <w:p w:rsidR="005D5BB5" w:rsidRPr="00637448" w:rsidRDefault="005D5BB5" w:rsidP="007173C1">
      <w:pPr>
        <w:tabs>
          <w:tab w:val="left" w:pos="360"/>
        </w:tabs>
        <w:spacing w:before="0" w:line="240" w:lineRule="auto"/>
        <w:rPr>
          <w:szCs w:val="24"/>
        </w:rPr>
      </w:pPr>
      <w:r w:rsidRPr="00637448">
        <w:rPr>
          <w:szCs w:val="24"/>
        </w:rPr>
        <w:t>Exposure was treated as a continuous variable, unless otherwise specified. * indicates adjusted for potential confounders. ADAS-Cog-11</w:t>
      </w:r>
      <w:r w:rsidR="007173C1">
        <w:rPr>
          <w:szCs w:val="24"/>
        </w:rPr>
        <w:t xml:space="preserve">, </w:t>
      </w:r>
      <w:proofErr w:type="gramStart"/>
      <w:r w:rsidRPr="00637448">
        <w:rPr>
          <w:szCs w:val="24"/>
        </w:rPr>
        <w:t>Alzheimer’s Disease</w:t>
      </w:r>
      <w:proofErr w:type="gramEnd"/>
      <w:r w:rsidRPr="00637448">
        <w:rPr>
          <w:szCs w:val="24"/>
        </w:rPr>
        <w:t xml:space="preserve"> Assess</w:t>
      </w:r>
      <w:r w:rsidR="007173C1">
        <w:rPr>
          <w:szCs w:val="24"/>
        </w:rPr>
        <w:t>ment Scale – Cognitive Subscale;</w:t>
      </w:r>
      <w:r w:rsidRPr="00637448">
        <w:rPr>
          <w:szCs w:val="24"/>
        </w:rPr>
        <w:t xml:space="preserve"> MCI</w:t>
      </w:r>
      <w:r w:rsidR="007173C1">
        <w:rPr>
          <w:szCs w:val="24"/>
        </w:rPr>
        <w:t xml:space="preserve">, </w:t>
      </w:r>
      <w:r w:rsidR="007173C1" w:rsidRPr="00637448">
        <w:rPr>
          <w:szCs w:val="24"/>
        </w:rPr>
        <w:t>mild cognitive impa</w:t>
      </w:r>
      <w:r w:rsidRPr="00637448">
        <w:rPr>
          <w:szCs w:val="24"/>
        </w:rPr>
        <w:t>irment</w:t>
      </w:r>
      <w:r w:rsidR="007173C1">
        <w:rPr>
          <w:szCs w:val="24"/>
        </w:rPr>
        <w:t>;</w:t>
      </w:r>
      <w:r w:rsidRPr="00637448">
        <w:rPr>
          <w:szCs w:val="24"/>
        </w:rPr>
        <w:t xml:space="preserve"> NC</w:t>
      </w:r>
      <w:r w:rsidR="007173C1">
        <w:rPr>
          <w:szCs w:val="24"/>
        </w:rPr>
        <w:t>, n</w:t>
      </w:r>
      <w:r w:rsidRPr="00637448">
        <w:rPr>
          <w:szCs w:val="24"/>
        </w:rPr>
        <w:t xml:space="preserve">ormal </w:t>
      </w:r>
      <w:r w:rsidR="007173C1">
        <w:rPr>
          <w:szCs w:val="24"/>
        </w:rPr>
        <w:t>c</w:t>
      </w:r>
      <w:r w:rsidRPr="00637448">
        <w:rPr>
          <w:szCs w:val="24"/>
        </w:rPr>
        <w:t>ognition.</w:t>
      </w:r>
    </w:p>
    <w:p w:rsidR="00F919DE" w:rsidRPr="00637448" w:rsidRDefault="00F919DE" w:rsidP="007173C1">
      <w:pPr>
        <w:tabs>
          <w:tab w:val="left" w:pos="360"/>
        </w:tabs>
        <w:spacing w:before="0" w:line="240" w:lineRule="auto"/>
        <w:rPr>
          <w:szCs w:val="24"/>
        </w:rPr>
      </w:pPr>
    </w:p>
    <w:p w:rsidR="00316B40" w:rsidRPr="007173C1" w:rsidRDefault="007173C1" w:rsidP="007173C1">
      <w:pPr>
        <w:tabs>
          <w:tab w:val="left" w:pos="360"/>
        </w:tabs>
        <w:spacing w:before="0" w:line="240" w:lineRule="auto"/>
        <w:rPr>
          <w:szCs w:val="24"/>
        </w:rPr>
      </w:pPr>
      <w:proofErr w:type="gramStart"/>
      <w:r w:rsidRPr="00637448">
        <w:rPr>
          <w:b/>
          <w:szCs w:val="24"/>
        </w:rPr>
        <w:lastRenderedPageBreak/>
        <w:t>Supplementary Table 3</w:t>
      </w:r>
      <w:r>
        <w:rPr>
          <w:b/>
          <w:szCs w:val="24"/>
        </w:rPr>
        <w:t>.</w:t>
      </w:r>
      <w:proofErr w:type="gramEnd"/>
      <w:r w:rsidRPr="00637448">
        <w:rPr>
          <w:b/>
          <w:szCs w:val="24"/>
        </w:rPr>
        <w:t xml:space="preserve"> </w:t>
      </w:r>
      <w:r w:rsidRPr="007173C1">
        <w:rPr>
          <w:szCs w:val="24"/>
        </w:rPr>
        <w:t>ADAS-Cog 11 Responsiveness to Treatment Effects in Pre-Dementia Clinical Trials</w:t>
      </w:r>
    </w:p>
    <w:p w:rsidR="007173C1" w:rsidRPr="00637448" w:rsidRDefault="007173C1" w:rsidP="007173C1">
      <w:pPr>
        <w:tabs>
          <w:tab w:val="left" w:pos="360"/>
        </w:tabs>
        <w:spacing w:before="0" w:line="240" w:lineRule="auto"/>
        <w:rPr>
          <w:b/>
          <w:szCs w:val="24"/>
          <w:highlight w:val="yellow"/>
          <w:u w:val="single"/>
        </w:rPr>
      </w:pP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68"/>
      </w:tblGrid>
      <w:tr w:rsidR="005D5BB5" w:rsidRPr="00637448" w:rsidTr="007173C1">
        <w:trPr>
          <w:trHeight w:val="302"/>
        </w:trPr>
        <w:tc>
          <w:tcPr>
            <w:tcW w:w="9468" w:type="dxa"/>
            <w:shd w:val="clear" w:color="auto" w:fill="auto"/>
          </w:tcPr>
          <w:p w:rsidR="005D5BB5" w:rsidRPr="00637448" w:rsidRDefault="005D5BB5" w:rsidP="007173C1">
            <w:pPr>
              <w:tabs>
                <w:tab w:val="left" w:pos="360"/>
              </w:tabs>
              <w:spacing w:before="0" w:line="240" w:lineRule="auto"/>
              <w:rPr>
                <w:color w:val="000000"/>
                <w:szCs w:val="24"/>
              </w:rPr>
            </w:pPr>
            <w:r w:rsidRPr="00637448">
              <w:rPr>
                <w:color w:val="000000"/>
                <w:szCs w:val="24"/>
              </w:rPr>
              <w:t>[Reference] Treatment</w:t>
            </w:r>
            <w:r w:rsidR="00F04172" w:rsidRPr="00637448">
              <w:rPr>
                <w:color w:val="000000"/>
                <w:szCs w:val="24"/>
              </w:rPr>
              <w:t xml:space="preserve"> (</w:t>
            </w:r>
            <w:r w:rsidR="007173C1">
              <w:rPr>
                <w:color w:val="000000"/>
                <w:szCs w:val="24"/>
              </w:rPr>
              <w:t>versus</w:t>
            </w:r>
            <w:r w:rsidR="00F04172" w:rsidRPr="00637448">
              <w:rPr>
                <w:color w:val="000000"/>
                <w:szCs w:val="24"/>
              </w:rPr>
              <w:t xml:space="preserve"> placebo unless otherwise specified)</w:t>
            </w:r>
            <w:r w:rsidRPr="00637448">
              <w:rPr>
                <w:color w:val="000000"/>
                <w:szCs w:val="24"/>
              </w:rPr>
              <w:t xml:space="preserve"> </w:t>
            </w:r>
            <w:r w:rsidR="00F04172" w:rsidRPr="00637448">
              <w:rPr>
                <w:color w:val="000000"/>
                <w:szCs w:val="24"/>
              </w:rPr>
              <w:t>(n)</w:t>
            </w:r>
          </w:p>
        </w:tc>
      </w:tr>
      <w:tr w:rsidR="00F04172" w:rsidRPr="00637448" w:rsidTr="007173C1">
        <w:trPr>
          <w:trHeight w:val="302"/>
        </w:trPr>
        <w:tc>
          <w:tcPr>
            <w:tcW w:w="9468" w:type="dxa"/>
            <w:shd w:val="clear" w:color="auto" w:fill="AEAAAA" w:themeFill="background2" w:themeFillShade="BF"/>
          </w:tcPr>
          <w:p w:rsidR="00F04172" w:rsidRPr="00637448" w:rsidRDefault="00F04172" w:rsidP="007173C1">
            <w:pPr>
              <w:tabs>
                <w:tab w:val="left" w:pos="360"/>
              </w:tabs>
              <w:spacing w:before="0" w:line="240" w:lineRule="auto"/>
              <w:rPr>
                <w:b/>
                <w:color w:val="000000"/>
                <w:szCs w:val="24"/>
              </w:rPr>
            </w:pPr>
            <w:r w:rsidRPr="00637448">
              <w:rPr>
                <w:b/>
                <w:szCs w:val="24"/>
              </w:rPr>
              <w:t>Statistically significant treatment effect found with ADAS-Cog-11</w:t>
            </w:r>
          </w:p>
        </w:tc>
      </w:tr>
      <w:tr w:rsidR="003D2B1A" w:rsidRPr="00637448" w:rsidTr="007173C1">
        <w:trPr>
          <w:trHeight w:val="302"/>
        </w:trPr>
        <w:tc>
          <w:tcPr>
            <w:tcW w:w="9468" w:type="dxa"/>
            <w:shd w:val="clear" w:color="auto" w:fill="auto"/>
            <w:hideMark/>
          </w:tcPr>
          <w:p w:rsidR="003D2B1A" w:rsidRPr="00637448" w:rsidRDefault="003D2B1A"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63</w:t>
            </w:r>
            <w:r w:rsidRPr="00637448">
              <w:rPr>
                <w:color w:val="000000"/>
                <w:szCs w:val="24"/>
              </w:rPr>
              <w:t>]</w:t>
            </w:r>
            <w:r w:rsidR="005D5BB5" w:rsidRPr="00637448">
              <w:rPr>
                <w:color w:val="000000"/>
                <w:szCs w:val="24"/>
              </w:rPr>
              <w:t xml:space="preserve"> </w:t>
            </w:r>
            <w:r w:rsidRPr="00637448">
              <w:rPr>
                <w:color w:val="000000"/>
                <w:szCs w:val="24"/>
              </w:rPr>
              <w:t>Multicomponent Cognitive Group Intervention* (22)</w:t>
            </w:r>
          </w:p>
        </w:tc>
      </w:tr>
      <w:tr w:rsidR="003D2B1A" w:rsidRPr="00637448" w:rsidTr="007173C1">
        <w:trPr>
          <w:trHeight w:val="302"/>
        </w:trPr>
        <w:tc>
          <w:tcPr>
            <w:tcW w:w="9468" w:type="dxa"/>
            <w:shd w:val="clear" w:color="auto" w:fill="auto"/>
            <w:hideMark/>
          </w:tcPr>
          <w:p w:rsidR="003D2B1A" w:rsidRPr="00637448" w:rsidRDefault="003D2B1A"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64</w:t>
            </w:r>
            <w:r w:rsidRPr="00637448">
              <w:rPr>
                <w:color w:val="000000"/>
                <w:szCs w:val="24"/>
              </w:rPr>
              <w:t>]</w:t>
            </w:r>
            <w:r w:rsidR="005D5BB5" w:rsidRPr="00637448">
              <w:rPr>
                <w:color w:val="000000"/>
                <w:szCs w:val="24"/>
              </w:rPr>
              <w:t xml:space="preserve"> </w:t>
            </w:r>
            <w:r w:rsidRPr="00637448">
              <w:rPr>
                <w:color w:val="000000"/>
                <w:szCs w:val="24"/>
              </w:rPr>
              <w:t>Multicomponent Cognitive Group Intervention (24)</w:t>
            </w:r>
          </w:p>
        </w:tc>
      </w:tr>
      <w:tr w:rsidR="003D2B1A" w:rsidRPr="00637448" w:rsidTr="007173C1">
        <w:trPr>
          <w:trHeight w:val="302"/>
        </w:trPr>
        <w:tc>
          <w:tcPr>
            <w:tcW w:w="9468" w:type="dxa"/>
            <w:shd w:val="clear" w:color="auto" w:fill="auto"/>
            <w:hideMark/>
          </w:tcPr>
          <w:p w:rsidR="003D2B1A" w:rsidRPr="00637448" w:rsidRDefault="003D2B1A" w:rsidP="007173C1">
            <w:pPr>
              <w:tabs>
                <w:tab w:val="left" w:pos="360"/>
              </w:tabs>
              <w:spacing w:before="0" w:line="240" w:lineRule="auto"/>
              <w:rPr>
                <w:color w:val="000000"/>
                <w:szCs w:val="24"/>
              </w:rPr>
            </w:pPr>
            <w:r w:rsidRPr="00637448">
              <w:rPr>
                <w:color w:val="000000"/>
                <w:szCs w:val="24"/>
              </w:rPr>
              <w:t>[6</w:t>
            </w:r>
            <w:r w:rsidR="00316B40" w:rsidRPr="00637448">
              <w:rPr>
                <w:color w:val="000000"/>
                <w:szCs w:val="24"/>
              </w:rPr>
              <w:t>5</w:t>
            </w:r>
            <w:r w:rsidRPr="00637448">
              <w:rPr>
                <w:color w:val="000000"/>
                <w:szCs w:val="24"/>
              </w:rPr>
              <w:t>]</w:t>
            </w:r>
            <w:r w:rsidR="005D5BB5" w:rsidRPr="00637448">
              <w:rPr>
                <w:color w:val="000000"/>
                <w:szCs w:val="24"/>
              </w:rPr>
              <w:t xml:space="preserve"> </w:t>
            </w:r>
            <w:r w:rsidRPr="00637448">
              <w:rPr>
                <w:color w:val="000000"/>
                <w:szCs w:val="24"/>
              </w:rPr>
              <w:t>Omega-3 Polyunsaturated Fatty Acids* (23)</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[6</w:t>
            </w:r>
            <w:r w:rsidR="00316B40" w:rsidRPr="00637448">
              <w:rPr>
                <w:color w:val="000000"/>
                <w:szCs w:val="24"/>
              </w:rPr>
              <w:t>7</w:t>
            </w:r>
            <w:r w:rsidRPr="00637448">
              <w:rPr>
                <w:color w:val="000000"/>
                <w:szCs w:val="24"/>
              </w:rPr>
              <w:t>] Cognitive Intervention* (21)</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[6</w:t>
            </w:r>
            <w:r w:rsidR="00316B40" w:rsidRPr="00637448">
              <w:rPr>
                <w:color w:val="000000"/>
                <w:szCs w:val="24"/>
              </w:rPr>
              <w:t>8</w:t>
            </w:r>
            <w:r w:rsidRPr="00637448">
              <w:rPr>
                <w:color w:val="000000"/>
                <w:szCs w:val="24"/>
              </w:rPr>
              <w:t>] Immunoglobulin (49)</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73</w:t>
            </w:r>
            <w:r w:rsidRPr="00637448">
              <w:rPr>
                <w:color w:val="000000"/>
                <w:szCs w:val="24"/>
              </w:rPr>
              <w:t>] Aerobic Training (40)</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74</w:t>
            </w:r>
            <w:r w:rsidRPr="00637448">
              <w:rPr>
                <w:color w:val="000000"/>
                <w:szCs w:val="24"/>
              </w:rPr>
              <w:t xml:space="preserve">] Cognitive </w:t>
            </w:r>
            <w:proofErr w:type="spellStart"/>
            <w:r w:rsidRPr="00637448">
              <w:rPr>
                <w:color w:val="000000"/>
                <w:szCs w:val="24"/>
              </w:rPr>
              <w:t>Training+Transfer</w:t>
            </w:r>
            <w:proofErr w:type="spellEnd"/>
            <w:r w:rsidRPr="00637448">
              <w:rPr>
                <w:color w:val="000000"/>
                <w:szCs w:val="24"/>
              </w:rPr>
              <w:t xml:space="preserve"> </w:t>
            </w:r>
            <w:proofErr w:type="spellStart"/>
            <w:r w:rsidRPr="00637448">
              <w:rPr>
                <w:color w:val="000000"/>
                <w:szCs w:val="24"/>
              </w:rPr>
              <w:t>Training+Psychomotor</w:t>
            </w:r>
            <w:proofErr w:type="spellEnd"/>
            <w:r w:rsidRPr="00637448">
              <w:rPr>
                <w:color w:val="000000"/>
                <w:szCs w:val="24"/>
              </w:rPr>
              <w:t xml:space="preserve"> Training </w:t>
            </w:r>
            <w:r w:rsidR="007173C1">
              <w:rPr>
                <w:color w:val="000000"/>
                <w:szCs w:val="24"/>
              </w:rPr>
              <w:t>versus</w:t>
            </w:r>
            <w:r w:rsidRPr="00637448">
              <w:rPr>
                <w:color w:val="000000"/>
                <w:szCs w:val="24"/>
              </w:rPr>
              <w:t xml:space="preserve"> CT+TT </w:t>
            </w:r>
            <w:r w:rsidR="007173C1">
              <w:rPr>
                <w:color w:val="000000"/>
                <w:szCs w:val="24"/>
              </w:rPr>
              <w:t>versus</w:t>
            </w:r>
            <w:r w:rsidRPr="00637448">
              <w:rPr>
                <w:color w:val="000000"/>
                <w:szCs w:val="24"/>
              </w:rPr>
              <w:t xml:space="preserve"> CT* (223)</w:t>
            </w:r>
          </w:p>
        </w:tc>
      </w:tr>
      <w:tr w:rsidR="00F04172" w:rsidRPr="00637448" w:rsidTr="007173C1">
        <w:trPr>
          <w:trHeight w:val="302"/>
        </w:trPr>
        <w:tc>
          <w:tcPr>
            <w:tcW w:w="9468" w:type="dxa"/>
            <w:shd w:val="clear" w:color="auto" w:fill="auto"/>
          </w:tcPr>
          <w:p w:rsidR="00F04172" w:rsidRPr="00637448" w:rsidRDefault="00316B40" w:rsidP="007173C1">
            <w:pPr>
              <w:tabs>
                <w:tab w:val="left" w:pos="360"/>
              </w:tabs>
              <w:spacing w:before="0" w:line="240" w:lineRule="auto"/>
              <w:rPr>
                <w:color w:val="000000"/>
                <w:szCs w:val="24"/>
              </w:rPr>
            </w:pPr>
            <w:r w:rsidRPr="00637448">
              <w:rPr>
                <w:color w:val="000000"/>
                <w:szCs w:val="24"/>
              </w:rPr>
              <w:t xml:space="preserve">[79] </w:t>
            </w:r>
            <w:proofErr w:type="spellStart"/>
            <w:r w:rsidR="00F04172" w:rsidRPr="00637448">
              <w:rPr>
                <w:color w:val="000000"/>
                <w:szCs w:val="24"/>
              </w:rPr>
              <w:t>Multidomain</w:t>
            </w:r>
            <w:proofErr w:type="spellEnd"/>
            <w:r w:rsidR="00F04172" w:rsidRPr="00637448">
              <w:rPr>
                <w:color w:val="000000"/>
                <w:szCs w:val="24"/>
              </w:rPr>
              <w:t xml:space="preserve"> Training </w:t>
            </w:r>
            <w:r w:rsidR="007173C1">
              <w:rPr>
                <w:color w:val="000000"/>
                <w:szCs w:val="24"/>
              </w:rPr>
              <w:t>versus</w:t>
            </w:r>
            <w:r w:rsidR="00F04172" w:rsidRPr="00637448">
              <w:rPr>
                <w:color w:val="000000"/>
                <w:szCs w:val="24"/>
              </w:rPr>
              <w:t xml:space="preserve"> Usual Care (113)</w:t>
            </w:r>
          </w:p>
        </w:tc>
      </w:tr>
      <w:tr w:rsidR="00F04172" w:rsidRPr="00637448" w:rsidTr="007173C1">
        <w:trPr>
          <w:trHeight w:val="302"/>
        </w:trPr>
        <w:tc>
          <w:tcPr>
            <w:tcW w:w="9468" w:type="dxa"/>
            <w:shd w:val="clear" w:color="auto" w:fill="auto"/>
          </w:tcPr>
          <w:p w:rsidR="00F04172" w:rsidRPr="00637448" w:rsidRDefault="00316B40" w:rsidP="007173C1">
            <w:pPr>
              <w:tabs>
                <w:tab w:val="left" w:pos="360"/>
              </w:tabs>
              <w:spacing w:before="0" w:line="240" w:lineRule="auto"/>
              <w:rPr>
                <w:color w:val="000000"/>
                <w:szCs w:val="24"/>
              </w:rPr>
            </w:pPr>
            <w:r w:rsidRPr="00637448">
              <w:rPr>
                <w:color w:val="000000"/>
                <w:szCs w:val="24"/>
              </w:rPr>
              <w:t xml:space="preserve">[80] </w:t>
            </w:r>
            <w:r w:rsidR="00F04172" w:rsidRPr="00637448">
              <w:rPr>
                <w:color w:val="000000"/>
                <w:szCs w:val="24"/>
              </w:rPr>
              <w:t>Di-Huang-Yi-</w:t>
            </w:r>
            <w:proofErr w:type="spellStart"/>
            <w:r w:rsidR="00F04172" w:rsidRPr="00637448">
              <w:rPr>
                <w:color w:val="000000"/>
                <w:szCs w:val="24"/>
              </w:rPr>
              <w:t>Zhi</w:t>
            </w:r>
            <w:proofErr w:type="spellEnd"/>
            <w:r w:rsidR="00F04172" w:rsidRPr="00637448">
              <w:rPr>
                <w:color w:val="000000"/>
                <w:szCs w:val="24"/>
              </w:rPr>
              <w:t xml:space="preserve"> Formula </w:t>
            </w:r>
            <w:r w:rsidR="007173C1">
              <w:rPr>
                <w:color w:val="000000"/>
                <w:szCs w:val="24"/>
              </w:rPr>
              <w:t>versus</w:t>
            </w:r>
            <w:r w:rsidR="00F04172" w:rsidRPr="00637448">
              <w:rPr>
                <w:color w:val="000000"/>
                <w:szCs w:val="24"/>
              </w:rPr>
              <w:t xml:space="preserve"> </w:t>
            </w:r>
            <w:proofErr w:type="spellStart"/>
            <w:r w:rsidR="00F04172" w:rsidRPr="00637448">
              <w:rPr>
                <w:color w:val="000000"/>
                <w:szCs w:val="24"/>
              </w:rPr>
              <w:t>Aniracetam</w:t>
            </w:r>
            <w:proofErr w:type="spellEnd"/>
            <w:r w:rsidR="00F04172" w:rsidRPr="00637448">
              <w:rPr>
                <w:color w:val="000000"/>
                <w:szCs w:val="24"/>
              </w:rPr>
              <w:t xml:space="preserve"> (100) </w:t>
            </w:r>
          </w:p>
        </w:tc>
      </w:tr>
      <w:tr w:rsidR="00F04172" w:rsidRPr="00637448" w:rsidTr="007173C1">
        <w:trPr>
          <w:trHeight w:val="302"/>
        </w:trPr>
        <w:tc>
          <w:tcPr>
            <w:tcW w:w="9468" w:type="dxa"/>
            <w:shd w:val="clear" w:color="auto" w:fill="auto"/>
          </w:tcPr>
          <w:p w:rsidR="00F04172" w:rsidRPr="00637448" w:rsidRDefault="00316B40" w:rsidP="007173C1">
            <w:pPr>
              <w:tabs>
                <w:tab w:val="left" w:pos="360"/>
              </w:tabs>
              <w:spacing w:before="0" w:line="240" w:lineRule="auto"/>
              <w:rPr>
                <w:color w:val="000000"/>
                <w:szCs w:val="24"/>
              </w:rPr>
            </w:pPr>
            <w:r w:rsidRPr="00637448">
              <w:rPr>
                <w:color w:val="000000"/>
                <w:szCs w:val="24"/>
              </w:rPr>
              <w:t xml:space="preserve">[81] </w:t>
            </w:r>
            <w:r w:rsidR="00F04172" w:rsidRPr="00637448">
              <w:rPr>
                <w:color w:val="000000"/>
                <w:szCs w:val="24"/>
              </w:rPr>
              <w:t xml:space="preserve">MLC601 </w:t>
            </w:r>
            <w:r w:rsidR="007173C1">
              <w:rPr>
                <w:color w:val="000000"/>
                <w:szCs w:val="24"/>
              </w:rPr>
              <w:t>versus</w:t>
            </w:r>
            <w:r w:rsidR="00F04172" w:rsidRPr="00637448">
              <w:rPr>
                <w:color w:val="000000"/>
                <w:szCs w:val="24"/>
              </w:rPr>
              <w:t xml:space="preserve"> Placebo (70)</w:t>
            </w:r>
          </w:p>
        </w:tc>
      </w:tr>
      <w:tr w:rsidR="00F04172" w:rsidRPr="00637448" w:rsidTr="007173C1">
        <w:trPr>
          <w:trHeight w:val="302"/>
        </w:trPr>
        <w:tc>
          <w:tcPr>
            <w:tcW w:w="9468" w:type="dxa"/>
            <w:shd w:val="clear" w:color="auto" w:fill="AEAAAA" w:themeFill="background2" w:themeFillShade="BF"/>
          </w:tcPr>
          <w:p w:rsidR="00F04172" w:rsidRPr="00637448" w:rsidRDefault="00F04172" w:rsidP="007173C1">
            <w:pPr>
              <w:tabs>
                <w:tab w:val="left" w:pos="360"/>
              </w:tabs>
              <w:spacing w:before="0" w:line="240" w:lineRule="auto"/>
              <w:rPr>
                <w:b/>
                <w:color w:val="000000"/>
                <w:szCs w:val="24"/>
              </w:rPr>
            </w:pPr>
            <w:r w:rsidRPr="00637448">
              <w:rPr>
                <w:b/>
                <w:szCs w:val="24"/>
              </w:rPr>
              <w:t>Non-statistically significant treatment effect found with ADAS-Cog-11, where no other outcome measure found a statistically significant association</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62</w:t>
            </w:r>
            <w:r w:rsidRPr="00637448">
              <w:rPr>
                <w:color w:val="000000"/>
                <w:szCs w:val="24"/>
              </w:rPr>
              <w:t>]</w:t>
            </w:r>
            <w:r w:rsidRPr="00637448">
              <w:rPr>
                <w:color w:val="000000"/>
                <w:szCs w:val="24"/>
                <w:vertAlign w:val="superscript"/>
              </w:rPr>
              <w:t xml:space="preserve"> </w:t>
            </w:r>
            <w:r w:rsidRPr="00637448">
              <w:rPr>
                <w:color w:val="000000"/>
                <w:szCs w:val="24"/>
              </w:rPr>
              <w:t>Donepezil (408)</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[6</w:t>
            </w:r>
            <w:r w:rsidR="00316B40" w:rsidRPr="00637448">
              <w:rPr>
                <w:color w:val="000000"/>
                <w:szCs w:val="24"/>
              </w:rPr>
              <w:t>9</w:t>
            </w:r>
            <w:r w:rsidRPr="00637448">
              <w:rPr>
                <w:color w:val="000000"/>
                <w:szCs w:val="24"/>
              </w:rPr>
              <w:t>] Sodium Benzoate* (31)</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71</w:t>
            </w:r>
            <w:r w:rsidRPr="00637448">
              <w:rPr>
                <w:color w:val="000000"/>
                <w:szCs w:val="24"/>
              </w:rPr>
              <w:t xml:space="preserve">] Chinese Herbal Medicine </w:t>
            </w:r>
            <w:r w:rsidR="007173C1">
              <w:rPr>
                <w:color w:val="000000"/>
                <w:szCs w:val="24"/>
              </w:rPr>
              <w:t>versus</w:t>
            </w:r>
            <w:r w:rsidRPr="00637448">
              <w:rPr>
                <w:color w:val="000000"/>
                <w:szCs w:val="24"/>
              </w:rPr>
              <w:t xml:space="preserve"> Donepezil (72)</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72</w:t>
            </w:r>
            <w:r w:rsidRPr="00637448">
              <w:rPr>
                <w:color w:val="000000"/>
                <w:szCs w:val="24"/>
              </w:rPr>
              <w:t>] Donepezil and Vitamin E (769)</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[7</w:t>
            </w:r>
            <w:r w:rsidR="00316B40" w:rsidRPr="00637448">
              <w:rPr>
                <w:color w:val="000000"/>
                <w:szCs w:val="24"/>
              </w:rPr>
              <w:t>5</w:t>
            </w:r>
            <w:r w:rsidRPr="00637448">
              <w:rPr>
                <w:color w:val="000000"/>
                <w:szCs w:val="24"/>
              </w:rPr>
              <w:t xml:space="preserve">] Computerized </w:t>
            </w:r>
            <w:proofErr w:type="spellStart"/>
            <w:r w:rsidRPr="00637448">
              <w:rPr>
                <w:color w:val="000000"/>
                <w:szCs w:val="24"/>
              </w:rPr>
              <w:t>Multidomain</w:t>
            </w:r>
            <w:proofErr w:type="spellEnd"/>
            <w:r w:rsidRPr="00637448">
              <w:rPr>
                <w:color w:val="000000"/>
                <w:szCs w:val="24"/>
              </w:rPr>
              <w:t xml:space="preserve"> Cognitive Training (51)</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[7</w:t>
            </w:r>
            <w:r w:rsidR="00316B40" w:rsidRPr="00637448">
              <w:rPr>
                <w:color w:val="000000"/>
                <w:szCs w:val="24"/>
              </w:rPr>
              <w:t>6</w:t>
            </w:r>
            <w:r w:rsidRPr="00637448">
              <w:rPr>
                <w:color w:val="000000"/>
                <w:szCs w:val="24"/>
              </w:rPr>
              <w:t xml:space="preserve">] G </w:t>
            </w:r>
            <w:proofErr w:type="spellStart"/>
            <w:r w:rsidRPr="00637448">
              <w:rPr>
                <w:color w:val="000000"/>
                <w:szCs w:val="24"/>
              </w:rPr>
              <w:t>Biloba</w:t>
            </w:r>
            <w:proofErr w:type="spellEnd"/>
            <w:r w:rsidRPr="00637448">
              <w:rPr>
                <w:color w:val="000000"/>
                <w:szCs w:val="24"/>
              </w:rPr>
              <w:t xml:space="preserve"> Extract (3069)</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[7</w:t>
            </w:r>
            <w:r w:rsidR="00316B40" w:rsidRPr="00637448">
              <w:rPr>
                <w:color w:val="000000"/>
                <w:szCs w:val="24"/>
              </w:rPr>
              <w:t>7</w:t>
            </w:r>
            <w:r w:rsidRPr="00637448">
              <w:rPr>
                <w:color w:val="000000"/>
                <w:szCs w:val="24"/>
              </w:rPr>
              <w:t xml:space="preserve">] Multicomponent Exercise with Multitask Conditions </w:t>
            </w:r>
            <w:r w:rsidR="007173C1">
              <w:rPr>
                <w:color w:val="000000"/>
                <w:szCs w:val="24"/>
              </w:rPr>
              <w:t>versus</w:t>
            </w:r>
            <w:r w:rsidRPr="00637448">
              <w:rPr>
                <w:color w:val="000000"/>
                <w:szCs w:val="24"/>
              </w:rPr>
              <w:t xml:space="preserve"> Educational Classes (100)</w:t>
            </w:r>
          </w:p>
        </w:tc>
      </w:tr>
      <w:tr w:rsidR="00F04172" w:rsidRPr="00637448" w:rsidTr="007173C1">
        <w:trPr>
          <w:trHeight w:val="302"/>
        </w:trPr>
        <w:tc>
          <w:tcPr>
            <w:tcW w:w="9468" w:type="dxa"/>
            <w:shd w:val="clear" w:color="auto" w:fill="AEAAAA" w:themeFill="background2" w:themeFillShade="BF"/>
          </w:tcPr>
          <w:p w:rsidR="00F04172" w:rsidRPr="00637448" w:rsidRDefault="00F04172" w:rsidP="007173C1">
            <w:pPr>
              <w:tabs>
                <w:tab w:val="left" w:pos="360"/>
              </w:tabs>
              <w:spacing w:before="0" w:line="240" w:lineRule="auto"/>
              <w:rPr>
                <w:b/>
                <w:color w:val="000000"/>
                <w:szCs w:val="24"/>
              </w:rPr>
            </w:pPr>
            <w:r w:rsidRPr="00637448">
              <w:rPr>
                <w:b/>
                <w:szCs w:val="24"/>
              </w:rPr>
              <w:t>Non-statistically significant treatment effect found with ADAS-Cog-11, where at least one other outcome measure detected a statistically significant result</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[6</w:t>
            </w:r>
            <w:r w:rsidR="00316B40" w:rsidRPr="00637448">
              <w:rPr>
                <w:color w:val="000000"/>
                <w:szCs w:val="24"/>
              </w:rPr>
              <w:t>6</w:t>
            </w:r>
            <w:r w:rsidRPr="00637448">
              <w:rPr>
                <w:color w:val="000000"/>
                <w:szCs w:val="24"/>
              </w:rPr>
              <w:t>] Pro-Cholinergic Drug* (241)</w:t>
            </w:r>
          </w:p>
        </w:tc>
      </w:tr>
      <w:tr w:rsidR="00F04172" w:rsidRPr="00637448" w:rsidTr="007173C1">
        <w:trPr>
          <w:trHeight w:val="302"/>
        </w:trPr>
        <w:tc>
          <w:tcPr>
            <w:tcW w:w="9468" w:type="dxa"/>
            <w:shd w:val="clear" w:color="auto" w:fill="auto"/>
          </w:tcPr>
          <w:p w:rsidR="00F04172" w:rsidRPr="00637448" w:rsidRDefault="00F04172" w:rsidP="007173C1">
            <w:pPr>
              <w:tabs>
                <w:tab w:val="left" w:pos="360"/>
              </w:tabs>
              <w:spacing w:before="0" w:line="240" w:lineRule="auto"/>
              <w:rPr>
                <w:color w:val="000000"/>
                <w:szCs w:val="24"/>
              </w:rPr>
            </w:pPr>
            <w:r w:rsidRPr="00637448">
              <w:rPr>
                <w:color w:val="000000"/>
                <w:szCs w:val="24"/>
              </w:rPr>
              <w:t>[</w:t>
            </w:r>
            <w:r w:rsidR="00316B40" w:rsidRPr="00637448">
              <w:rPr>
                <w:color w:val="000000"/>
                <w:szCs w:val="24"/>
              </w:rPr>
              <w:t>70</w:t>
            </w:r>
            <w:r w:rsidRPr="00637448">
              <w:rPr>
                <w:color w:val="000000"/>
                <w:szCs w:val="24"/>
              </w:rPr>
              <w:t xml:space="preserve">] </w:t>
            </w:r>
            <w:proofErr w:type="spellStart"/>
            <w:r w:rsidRPr="00637448">
              <w:rPr>
                <w:color w:val="000000"/>
                <w:szCs w:val="24"/>
              </w:rPr>
              <w:t>Metaformin</w:t>
            </w:r>
            <w:proofErr w:type="spellEnd"/>
            <w:r w:rsidR="00C01182" w:rsidRPr="00637448">
              <w:rPr>
                <w:color w:val="000000"/>
                <w:szCs w:val="24"/>
              </w:rPr>
              <w:t>*</w:t>
            </w:r>
            <w:r w:rsidRPr="00637448">
              <w:rPr>
                <w:color w:val="000000"/>
                <w:szCs w:val="24"/>
              </w:rPr>
              <w:t xml:space="preserve"> (80)</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[7</w:t>
            </w:r>
            <w:r w:rsidR="00316B40" w:rsidRPr="00637448">
              <w:rPr>
                <w:color w:val="000000"/>
                <w:szCs w:val="24"/>
              </w:rPr>
              <w:t>5</w:t>
            </w:r>
            <w:r w:rsidRPr="00637448">
              <w:rPr>
                <w:color w:val="000000"/>
                <w:szCs w:val="24"/>
              </w:rPr>
              <w:t>] High Intensity Progressive Resistance Training (49)</w:t>
            </w:r>
          </w:p>
        </w:tc>
      </w:tr>
      <w:tr w:rsidR="00F04172" w:rsidRPr="00637448" w:rsidTr="007173C1">
        <w:trPr>
          <w:trHeight w:val="302"/>
        </w:trPr>
        <w:tc>
          <w:tcPr>
            <w:tcW w:w="9468" w:type="dxa"/>
            <w:shd w:val="clear" w:color="auto" w:fill="auto"/>
            <w:hideMark/>
          </w:tcPr>
          <w:p w:rsidR="00F04172" w:rsidRPr="00637448" w:rsidRDefault="00F04172" w:rsidP="007173C1">
            <w:pPr>
              <w:tabs>
                <w:tab w:val="left" w:pos="360"/>
              </w:tabs>
              <w:spacing w:before="0" w:line="240" w:lineRule="auto"/>
              <w:rPr>
                <w:color w:val="000000"/>
                <w:szCs w:val="24"/>
              </w:rPr>
            </w:pPr>
            <w:r w:rsidRPr="00637448">
              <w:rPr>
                <w:color w:val="000000"/>
                <w:szCs w:val="24"/>
              </w:rPr>
              <w:t>[7</w:t>
            </w:r>
            <w:r w:rsidR="00316B40" w:rsidRPr="00637448">
              <w:rPr>
                <w:color w:val="000000"/>
                <w:szCs w:val="24"/>
              </w:rPr>
              <w:t>8</w:t>
            </w:r>
            <w:r w:rsidRPr="00637448">
              <w:rPr>
                <w:color w:val="000000"/>
                <w:szCs w:val="24"/>
              </w:rPr>
              <w:t xml:space="preserve">] </w:t>
            </w:r>
            <w:proofErr w:type="spellStart"/>
            <w:r w:rsidRPr="00637448">
              <w:rPr>
                <w:color w:val="000000"/>
                <w:szCs w:val="24"/>
              </w:rPr>
              <w:t>Rofecoxib</w:t>
            </w:r>
            <w:proofErr w:type="spellEnd"/>
            <w:r w:rsidRPr="00637448">
              <w:rPr>
                <w:color w:val="000000"/>
                <w:szCs w:val="24"/>
              </w:rPr>
              <w:t xml:space="preserve"> (1457)</w:t>
            </w:r>
          </w:p>
        </w:tc>
      </w:tr>
    </w:tbl>
    <w:p w:rsidR="00F04172" w:rsidRPr="00637448" w:rsidRDefault="00F04172" w:rsidP="007173C1">
      <w:pPr>
        <w:tabs>
          <w:tab w:val="left" w:pos="360"/>
        </w:tabs>
        <w:spacing w:before="0" w:line="240" w:lineRule="auto"/>
        <w:rPr>
          <w:b/>
          <w:szCs w:val="24"/>
        </w:rPr>
      </w:pPr>
    </w:p>
    <w:p w:rsidR="007173C1" w:rsidRDefault="007173C1">
      <w:pPr>
        <w:spacing w:before="0" w:after="160" w:line="259" w:lineRule="auto"/>
        <w:rPr>
          <w:b/>
          <w:szCs w:val="24"/>
        </w:rPr>
      </w:pPr>
      <w:r>
        <w:rPr>
          <w:b/>
          <w:szCs w:val="24"/>
        </w:rPr>
        <w:br w:type="page"/>
      </w:r>
    </w:p>
    <w:p w:rsidR="00015189" w:rsidRDefault="007173C1" w:rsidP="007173C1">
      <w:pPr>
        <w:tabs>
          <w:tab w:val="left" w:pos="360"/>
        </w:tabs>
        <w:spacing w:before="0" w:line="240" w:lineRule="auto"/>
        <w:rPr>
          <w:szCs w:val="24"/>
        </w:rPr>
      </w:pPr>
      <w:proofErr w:type="gramStart"/>
      <w:r w:rsidRPr="00637448">
        <w:rPr>
          <w:b/>
          <w:szCs w:val="24"/>
        </w:rPr>
        <w:lastRenderedPageBreak/>
        <w:t>Supplementary Table 4</w:t>
      </w:r>
      <w:r>
        <w:rPr>
          <w:b/>
          <w:szCs w:val="24"/>
        </w:rPr>
        <w:t>.</w:t>
      </w:r>
      <w:proofErr w:type="gramEnd"/>
      <w:r w:rsidRPr="00637448">
        <w:rPr>
          <w:b/>
          <w:szCs w:val="24"/>
        </w:rPr>
        <w:t xml:space="preserve"> </w:t>
      </w:r>
      <w:r w:rsidRPr="007173C1">
        <w:rPr>
          <w:szCs w:val="24"/>
        </w:rPr>
        <w:t>Sample Size Estimates to Detect Treatment Effects in Pre-Dementia Clinical Trials</w:t>
      </w:r>
    </w:p>
    <w:p w:rsidR="007173C1" w:rsidRPr="007173C1" w:rsidRDefault="007173C1" w:rsidP="007173C1">
      <w:pPr>
        <w:tabs>
          <w:tab w:val="left" w:pos="360"/>
        </w:tabs>
        <w:spacing w:before="0" w:line="240" w:lineRule="auto"/>
        <w:rPr>
          <w:szCs w:val="24"/>
          <w:highlight w:val="yellow"/>
          <w:u w:val="single"/>
        </w:rPr>
      </w:pPr>
    </w:p>
    <w:tbl>
      <w:tblPr>
        <w:tblW w:w="9434"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27"/>
        <w:gridCol w:w="360"/>
        <w:gridCol w:w="5047"/>
      </w:tblGrid>
      <w:tr w:rsidR="007173C1" w:rsidRPr="00637448" w:rsidTr="007173C1">
        <w:trPr>
          <w:trHeight w:val="302"/>
        </w:trPr>
        <w:tc>
          <w:tcPr>
            <w:tcW w:w="4027" w:type="dxa"/>
            <w:shd w:val="clear" w:color="auto" w:fill="auto"/>
            <w:hideMark/>
          </w:tcPr>
          <w:p w:rsidR="00015189" w:rsidRPr="00637448" w:rsidRDefault="00015189" w:rsidP="007173C1">
            <w:pPr>
              <w:tabs>
                <w:tab w:val="left" w:pos="360"/>
              </w:tabs>
              <w:spacing w:before="0" w:line="240" w:lineRule="auto"/>
              <w:rPr>
                <w:b/>
                <w:color w:val="000000"/>
                <w:szCs w:val="24"/>
              </w:rPr>
            </w:pPr>
            <w:r w:rsidRPr="00637448">
              <w:rPr>
                <w:b/>
                <w:color w:val="000000"/>
                <w:szCs w:val="24"/>
              </w:rPr>
              <w:t xml:space="preserve">[Reference] Study Details </w:t>
            </w:r>
          </w:p>
        </w:tc>
        <w:tc>
          <w:tcPr>
            <w:tcW w:w="5407" w:type="dxa"/>
            <w:gridSpan w:val="2"/>
            <w:shd w:val="clear" w:color="auto" w:fill="auto"/>
            <w:hideMark/>
          </w:tcPr>
          <w:p w:rsidR="00015189" w:rsidRPr="00637448" w:rsidRDefault="00015189" w:rsidP="007173C1">
            <w:pPr>
              <w:tabs>
                <w:tab w:val="left" w:pos="360"/>
              </w:tabs>
              <w:spacing w:before="0" w:line="240" w:lineRule="auto"/>
              <w:rPr>
                <w:b/>
                <w:color w:val="000000"/>
                <w:szCs w:val="24"/>
              </w:rPr>
            </w:pPr>
            <w:r w:rsidRPr="00637448">
              <w:rPr>
                <w:b/>
                <w:color w:val="000000"/>
                <w:szCs w:val="24"/>
              </w:rPr>
              <w:t xml:space="preserve">ADAS-Cog 11 rank versus other outcome measures </w:t>
            </w:r>
          </w:p>
        </w:tc>
      </w:tr>
      <w:tr w:rsidR="007173C1" w:rsidRPr="00637448" w:rsidTr="007173C1">
        <w:trPr>
          <w:trHeight w:val="302"/>
        </w:trPr>
        <w:tc>
          <w:tcPr>
            <w:tcW w:w="9434" w:type="dxa"/>
            <w:gridSpan w:val="3"/>
            <w:shd w:val="clear" w:color="000000" w:fill="AEAAAA" w:themeFill="background2" w:themeFillShade="BF"/>
            <w:hideMark/>
          </w:tcPr>
          <w:p w:rsidR="00015189" w:rsidRPr="00637448" w:rsidRDefault="00316B40" w:rsidP="007173C1">
            <w:pPr>
              <w:tabs>
                <w:tab w:val="left" w:pos="360"/>
              </w:tabs>
              <w:spacing w:before="0" w:line="240" w:lineRule="auto"/>
              <w:rPr>
                <w:color w:val="000000"/>
                <w:szCs w:val="24"/>
              </w:rPr>
            </w:pPr>
            <w:r w:rsidRPr="00637448">
              <w:rPr>
                <w:color w:val="000000"/>
                <w:szCs w:val="24"/>
              </w:rPr>
              <w:t>[82</w:t>
            </w:r>
            <w:r w:rsidR="00015189" w:rsidRPr="00637448">
              <w:rPr>
                <w:color w:val="000000"/>
                <w:szCs w:val="24"/>
              </w:rPr>
              <w:t xml:space="preserve">] Estimate n per treatment arm needed to detect 20% reduction in disease progression over 24 months, with beta=0.20, and alpha=0.05. </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with Aβ</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(n=568) of 6; best=brain atrophy rate (n=46)</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with Hippocampal Atrophy</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 &gt;1000) of 6; best=brain atrophy rate (n=77)</w:t>
            </w:r>
          </w:p>
        </w:tc>
      </w:tr>
      <w:tr w:rsidR="007173C1" w:rsidRPr="00637448" w:rsidTr="007173C1">
        <w:trPr>
          <w:trHeight w:val="302"/>
        </w:trPr>
        <w:tc>
          <w:tcPr>
            <w:tcW w:w="9434" w:type="dxa"/>
            <w:gridSpan w:val="3"/>
            <w:shd w:val="clear" w:color="000000" w:fill="AEAAAA" w:themeFill="background2" w:themeFillShade="BF"/>
            <w:hideMark/>
          </w:tcPr>
          <w:p w:rsidR="00015189" w:rsidRPr="00637448" w:rsidRDefault="00316B40" w:rsidP="007173C1">
            <w:pPr>
              <w:tabs>
                <w:tab w:val="left" w:pos="360"/>
              </w:tabs>
              <w:spacing w:before="0" w:line="240" w:lineRule="auto"/>
              <w:rPr>
                <w:color w:val="000000"/>
                <w:szCs w:val="24"/>
              </w:rPr>
            </w:pPr>
            <w:r w:rsidRPr="00637448">
              <w:rPr>
                <w:color w:val="000000"/>
                <w:szCs w:val="24"/>
              </w:rPr>
              <w:t>[83</w:t>
            </w:r>
            <w:r w:rsidR="00015189" w:rsidRPr="00637448">
              <w:rPr>
                <w:color w:val="000000"/>
                <w:szCs w:val="24"/>
              </w:rPr>
              <w:t xml:space="preserve">] Estimate n per treatment arm required to detect 25% treatment effect in cognitive measures over 24 and 36 months with beta=0.20 and alpha=0.05. Assessed different sample enrichment strategies. </w:t>
            </w:r>
          </w:p>
        </w:tc>
      </w:tr>
      <w:tr w:rsidR="007173C1" w:rsidRPr="00637448" w:rsidTr="007173C1">
        <w:trPr>
          <w:trHeight w:val="302"/>
        </w:trPr>
        <w:tc>
          <w:tcPr>
            <w:tcW w:w="4387" w:type="dxa"/>
            <w:gridSpan w:val="2"/>
            <w:tcBorders>
              <w:bottom w:val="single" w:sz="4" w:space="0" w:color="auto"/>
            </w:tcBorders>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NC with APOE</w:t>
            </w:r>
            <w:r w:rsidR="007173C1">
              <w:rPr>
                <w:color w:val="000000"/>
                <w:szCs w:val="24"/>
              </w:rPr>
              <w:t xml:space="preserve"> </w:t>
            </w:r>
            <w:r w:rsidR="007173C1">
              <w:rPr>
                <w:color w:val="000000"/>
                <w:szCs w:val="24"/>
              </w:rPr>
              <w:sym w:font="Symbol" w:char="F065"/>
            </w:r>
            <w:r w:rsidRPr="00637448">
              <w:rPr>
                <w:color w:val="000000"/>
                <w:szCs w:val="24"/>
              </w:rPr>
              <w:t>4 allele,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(No decline) of 6; best=RAVLT (n=499)</w:t>
            </w:r>
          </w:p>
        </w:tc>
      </w:tr>
      <w:tr w:rsidR="007173C1" w:rsidRPr="00637448" w:rsidTr="007173C1">
        <w:trPr>
          <w:trHeight w:val="302"/>
        </w:trPr>
        <w:tc>
          <w:tcPr>
            <w:tcW w:w="4387" w:type="dxa"/>
            <w:gridSpan w:val="2"/>
            <w:tcBorders>
              <w:right w:val="nil"/>
            </w:tcBorders>
            <w:shd w:val="clear" w:color="auto" w:fill="auto"/>
            <w:hideMark/>
          </w:tcPr>
          <w:p w:rsidR="00015189" w:rsidRPr="00637448" w:rsidRDefault="007173C1" w:rsidP="007173C1">
            <w:pPr>
              <w:tabs>
                <w:tab w:val="left" w:pos="360"/>
              </w:tabs>
              <w:spacing w:before="0" w:line="240" w:lineRule="auto"/>
              <w:rPr>
                <w:color w:val="000000"/>
                <w:szCs w:val="24"/>
              </w:rPr>
            </w:pPr>
            <w:r>
              <w:rPr>
                <w:color w:val="000000"/>
                <w:szCs w:val="24"/>
              </w:rPr>
              <w:t xml:space="preserve">MCI with APOE </w:t>
            </w:r>
            <w:r>
              <w:rPr>
                <w:color w:val="000000"/>
                <w:szCs w:val="24"/>
              </w:rPr>
              <w:sym w:font="Symbol" w:char="F065"/>
            </w:r>
            <w:r w:rsidR="00015189" w:rsidRPr="00637448">
              <w:rPr>
                <w:color w:val="000000"/>
                <w:szCs w:val="24"/>
              </w:rPr>
              <w:t>4 allele, 24 months</w:t>
            </w:r>
          </w:p>
        </w:tc>
        <w:tc>
          <w:tcPr>
            <w:tcW w:w="5047" w:type="dxa"/>
            <w:tcBorders>
              <w:left w:val="nil"/>
            </w:tcBorders>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5th (n=908) of 6; best=CDR-SB (n=329)</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NC with Aβ,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(n=420495) of 6; best=RAVLT (n=1090)</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with Aβ,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3rd (n=639) of 6; best=CDR-SB (n=292)</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NC with Total CSF Tau,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(no decline) of 6; best=RAVLT (n=817)</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with Total CSF Tau, 24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4th (n=537) of 6; best=CDR-SB (n=292) </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NC with CSF Tau phosphorylated at threonine 181,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(n=2200678) of 6; best=RAVLT total score (n=559)</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NC with CSF Tau phosphorylated at threonine 181, 24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3rd (n=714) of 6; best=CDR-SB (n=296)</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NC with CSF Total Tau/Aβ, 36 months </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(no decline) of 6; best=RAVLT (n=559)</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with CSF Total Tau/Aβ, 24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4th (n=676) of 6; best=CDR-SB (n=258)</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NC with CSF </w:t>
            </w:r>
            <w:proofErr w:type="spellStart"/>
            <w:r w:rsidRPr="00637448">
              <w:rPr>
                <w:color w:val="000000"/>
                <w:szCs w:val="24"/>
              </w:rPr>
              <w:t>pTau</w:t>
            </w:r>
            <w:proofErr w:type="spellEnd"/>
            <w:r w:rsidRPr="00637448">
              <w:rPr>
                <w:color w:val="000000"/>
                <w:szCs w:val="24"/>
              </w:rPr>
              <w:t>/Aβ,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(n=214455) of 6; best=RAVLT (n=552)</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MCI with CSF </w:t>
            </w:r>
            <w:proofErr w:type="spellStart"/>
            <w:r w:rsidRPr="00637448">
              <w:rPr>
                <w:color w:val="000000"/>
                <w:szCs w:val="24"/>
              </w:rPr>
              <w:t>pTau</w:t>
            </w:r>
            <w:proofErr w:type="spellEnd"/>
            <w:r w:rsidRPr="00637448">
              <w:rPr>
                <w:color w:val="000000"/>
                <w:szCs w:val="24"/>
              </w:rPr>
              <w:t xml:space="preserve">/Aβ, 24 months </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3rd (n=696) of 6; best=CDR-SB (n=313)</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NC with Brain Glucose </w:t>
            </w:r>
            <w:proofErr w:type="spellStart"/>
            <w:r w:rsidRPr="00637448">
              <w:rPr>
                <w:color w:val="000000"/>
                <w:szCs w:val="24"/>
              </w:rPr>
              <w:t>Hypometabolism</w:t>
            </w:r>
            <w:proofErr w:type="spellEnd"/>
            <w:r w:rsidRPr="00637448">
              <w:rPr>
                <w:color w:val="000000"/>
                <w:szCs w:val="24"/>
              </w:rPr>
              <w:t>,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(n=13136) of 6; best=CDR-SB (n=1039)</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MCI with Brain Glucose </w:t>
            </w:r>
            <w:proofErr w:type="spellStart"/>
            <w:r w:rsidRPr="00637448">
              <w:rPr>
                <w:color w:val="000000"/>
                <w:szCs w:val="24"/>
              </w:rPr>
              <w:t>Hypometabolism</w:t>
            </w:r>
            <w:proofErr w:type="spellEnd"/>
            <w:r w:rsidRPr="00637448">
              <w:rPr>
                <w:color w:val="000000"/>
                <w:szCs w:val="24"/>
              </w:rPr>
              <w:t>, 24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3rd (n=357) of 6; best=MMSE (n=314)</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NC with Hippocampal Volume, 36 months</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6th (n=21359) of 6; best=CDR-SB (n=1057)</w:t>
            </w:r>
          </w:p>
        </w:tc>
      </w:tr>
      <w:tr w:rsidR="007173C1" w:rsidRPr="00637448" w:rsidTr="007173C1">
        <w:trPr>
          <w:trHeight w:val="302"/>
        </w:trPr>
        <w:tc>
          <w:tcPr>
            <w:tcW w:w="4387" w:type="dxa"/>
            <w:gridSpan w:val="2"/>
            <w:tcBorders>
              <w:bottom w:val="single" w:sz="4" w:space="0" w:color="auto"/>
            </w:tcBorders>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with Hippocampal Volume, 24 months</w:t>
            </w:r>
          </w:p>
        </w:tc>
        <w:tc>
          <w:tcPr>
            <w:tcW w:w="5047" w:type="dxa"/>
            <w:tcBorders>
              <w:bottom w:val="single" w:sz="4" w:space="0" w:color="auto"/>
            </w:tcBorders>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5th (n=754) of six; best=CDR-SB (n=300)</w:t>
            </w:r>
          </w:p>
        </w:tc>
      </w:tr>
      <w:tr w:rsidR="007173C1" w:rsidRPr="00637448" w:rsidTr="007173C1">
        <w:trPr>
          <w:trHeight w:val="302"/>
        </w:trPr>
        <w:tc>
          <w:tcPr>
            <w:tcW w:w="4387" w:type="dxa"/>
            <w:gridSpan w:val="2"/>
            <w:tcBorders>
              <w:right w:val="nil"/>
            </w:tcBorders>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NC with Lateral Ventricle Volume, 36 months </w:t>
            </w:r>
          </w:p>
        </w:tc>
        <w:tc>
          <w:tcPr>
            <w:tcW w:w="5047" w:type="dxa"/>
            <w:tcBorders>
              <w:left w:val="nil"/>
            </w:tcBorders>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Tied for 6th (no decline) of 6; best=RAVLT delayed recall (n=1039)</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MCI with Lateral Ventricle Volume, 24 months </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3rd (n=666) of 6; best=CDR-SB (n=381)</w:t>
            </w:r>
          </w:p>
        </w:tc>
      </w:tr>
      <w:tr w:rsidR="007173C1" w:rsidRPr="00637448" w:rsidTr="007173C1">
        <w:trPr>
          <w:trHeight w:val="302"/>
        </w:trPr>
        <w:tc>
          <w:tcPr>
            <w:tcW w:w="9434" w:type="dxa"/>
            <w:gridSpan w:val="3"/>
            <w:shd w:val="clear" w:color="000000" w:fill="AEAAAA" w:themeFill="background2" w:themeFillShade="BF"/>
            <w:hideMark/>
          </w:tcPr>
          <w:p w:rsidR="00015189" w:rsidRPr="00637448" w:rsidRDefault="00316B40" w:rsidP="007173C1">
            <w:pPr>
              <w:tabs>
                <w:tab w:val="left" w:pos="360"/>
              </w:tabs>
              <w:spacing w:before="0" w:line="240" w:lineRule="auto"/>
              <w:rPr>
                <w:color w:val="000000"/>
                <w:szCs w:val="24"/>
              </w:rPr>
            </w:pPr>
            <w:r w:rsidRPr="00637448">
              <w:rPr>
                <w:color w:val="000000"/>
                <w:szCs w:val="24"/>
              </w:rPr>
              <w:t>[84</w:t>
            </w:r>
            <w:r w:rsidR="00015189" w:rsidRPr="00637448">
              <w:rPr>
                <w:color w:val="000000"/>
                <w:szCs w:val="24"/>
              </w:rPr>
              <w:t>] Estimate n per treatment arm to measure 25% reduction in rate of change over 12 months, beta=0.20 and alpha=0.05.</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4th (n=1183) of 5; best=Rate of Annual Brain Volume Loss (n=108)</w:t>
            </w:r>
          </w:p>
        </w:tc>
      </w:tr>
      <w:tr w:rsidR="007173C1" w:rsidRPr="00637448" w:rsidTr="007173C1">
        <w:trPr>
          <w:trHeight w:val="302"/>
        </w:trPr>
        <w:tc>
          <w:tcPr>
            <w:tcW w:w="9434" w:type="dxa"/>
            <w:gridSpan w:val="3"/>
            <w:shd w:val="clear" w:color="auto" w:fill="AEAAAA" w:themeFill="background2" w:themeFillShade="BF"/>
            <w:hideMark/>
          </w:tcPr>
          <w:p w:rsidR="00015189" w:rsidRPr="00637448" w:rsidRDefault="00316B40" w:rsidP="007173C1">
            <w:pPr>
              <w:tabs>
                <w:tab w:val="left" w:pos="360"/>
              </w:tabs>
              <w:spacing w:before="0" w:line="240" w:lineRule="auto"/>
              <w:rPr>
                <w:color w:val="000000"/>
                <w:szCs w:val="24"/>
              </w:rPr>
            </w:pPr>
            <w:r w:rsidRPr="00637448">
              <w:rPr>
                <w:color w:val="000000"/>
                <w:szCs w:val="24"/>
              </w:rPr>
              <w:t>[85</w:t>
            </w:r>
            <w:r w:rsidR="00015189" w:rsidRPr="00637448">
              <w:rPr>
                <w:color w:val="000000"/>
                <w:szCs w:val="24"/>
              </w:rPr>
              <w:t>] Estimate n required to detect 25% reduction in rate of decline over 12 months with beta=0.20 or 0.10 and alpha=0.05.</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lastRenderedPageBreak/>
              <w:t>MCI, 80% power</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6th (n=6797) of 6; best=Atrophy using symmetric </w:t>
            </w:r>
            <w:proofErr w:type="spellStart"/>
            <w:r w:rsidRPr="00637448">
              <w:rPr>
                <w:color w:val="000000"/>
                <w:szCs w:val="24"/>
              </w:rPr>
              <w:t>Kullback-Leibler</w:t>
            </w:r>
            <w:proofErr w:type="spellEnd"/>
            <w:r w:rsidRPr="00637448">
              <w:rPr>
                <w:color w:val="000000"/>
                <w:szCs w:val="24"/>
              </w:rPr>
              <w:t xml:space="preserve"> S9L5 distance (n=85) </w:t>
            </w:r>
          </w:p>
        </w:tc>
      </w:tr>
      <w:tr w:rsidR="007173C1" w:rsidRPr="00637448" w:rsidTr="007173C1">
        <w:trPr>
          <w:trHeight w:val="302"/>
        </w:trPr>
        <w:tc>
          <w:tcPr>
            <w:tcW w:w="4387" w:type="dxa"/>
            <w:gridSpan w:val="2"/>
            <w:shd w:val="clear" w:color="auto"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MCI, 90% power</w:t>
            </w:r>
          </w:p>
        </w:tc>
        <w:tc>
          <w:tcPr>
            <w:tcW w:w="5047" w:type="dxa"/>
            <w:shd w:val="clear" w:color="000000" w:fill="auto"/>
            <w:hideMark/>
          </w:tcPr>
          <w:p w:rsidR="00015189" w:rsidRPr="00637448" w:rsidRDefault="00015189" w:rsidP="007173C1">
            <w:pPr>
              <w:tabs>
                <w:tab w:val="left" w:pos="360"/>
              </w:tabs>
              <w:spacing w:before="0" w:line="240" w:lineRule="auto"/>
              <w:rPr>
                <w:color w:val="000000"/>
                <w:szCs w:val="24"/>
              </w:rPr>
            </w:pPr>
            <w:r w:rsidRPr="00637448">
              <w:rPr>
                <w:color w:val="000000"/>
                <w:szCs w:val="24"/>
              </w:rPr>
              <w:t xml:space="preserve">6th (n=9092) of 6; best=Atrophy using symmetric </w:t>
            </w:r>
            <w:proofErr w:type="spellStart"/>
            <w:r w:rsidRPr="00637448">
              <w:rPr>
                <w:color w:val="000000"/>
                <w:szCs w:val="24"/>
              </w:rPr>
              <w:t>Kullback-Leibler</w:t>
            </w:r>
            <w:proofErr w:type="spellEnd"/>
            <w:r w:rsidRPr="00637448">
              <w:rPr>
                <w:color w:val="000000"/>
                <w:szCs w:val="24"/>
              </w:rPr>
              <w:t xml:space="preserve"> S9L5 distance</w:t>
            </w:r>
            <w:r w:rsidRPr="00637448" w:rsidDel="0058293C">
              <w:rPr>
                <w:color w:val="000000"/>
                <w:szCs w:val="24"/>
              </w:rPr>
              <w:t xml:space="preserve"> </w:t>
            </w:r>
            <w:r w:rsidRPr="00637448">
              <w:rPr>
                <w:color w:val="000000"/>
                <w:szCs w:val="24"/>
              </w:rPr>
              <w:t xml:space="preserve">(n=114) </w:t>
            </w:r>
          </w:p>
        </w:tc>
      </w:tr>
    </w:tbl>
    <w:p w:rsidR="00015189" w:rsidRPr="00637448" w:rsidRDefault="00015189" w:rsidP="007173C1">
      <w:pPr>
        <w:tabs>
          <w:tab w:val="left" w:pos="360"/>
        </w:tabs>
        <w:spacing w:before="0" w:line="240" w:lineRule="auto"/>
        <w:rPr>
          <w:szCs w:val="24"/>
        </w:rPr>
      </w:pPr>
      <w:r w:rsidRPr="00637448">
        <w:rPr>
          <w:szCs w:val="24"/>
        </w:rPr>
        <w:t>CDR-SB</w:t>
      </w:r>
      <w:r w:rsidR="007173C1">
        <w:rPr>
          <w:szCs w:val="24"/>
        </w:rPr>
        <w:t xml:space="preserve">, </w:t>
      </w:r>
      <w:r w:rsidRPr="00637448">
        <w:rPr>
          <w:szCs w:val="24"/>
        </w:rPr>
        <w:t>Clinical Dementia Rating Scale-Sum of Boxes</w:t>
      </w:r>
      <w:r w:rsidR="007173C1">
        <w:rPr>
          <w:szCs w:val="24"/>
        </w:rPr>
        <w:t>;</w:t>
      </w:r>
      <w:r w:rsidRPr="00637448">
        <w:rPr>
          <w:szCs w:val="24"/>
        </w:rPr>
        <w:t xml:space="preserve"> CSF</w:t>
      </w:r>
      <w:r w:rsidR="007173C1">
        <w:rPr>
          <w:szCs w:val="24"/>
        </w:rPr>
        <w:t>, cerebrospinal f</w:t>
      </w:r>
      <w:r w:rsidRPr="00637448">
        <w:rPr>
          <w:szCs w:val="24"/>
        </w:rPr>
        <w:t>luid</w:t>
      </w:r>
      <w:r w:rsidR="007173C1">
        <w:rPr>
          <w:szCs w:val="24"/>
        </w:rPr>
        <w:t>;</w:t>
      </w:r>
      <w:r w:rsidRPr="00637448">
        <w:rPr>
          <w:szCs w:val="24"/>
        </w:rPr>
        <w:t xml:space="preserve"> MCI</w:t>
      </w:r>
      <w:r w:rsidR="007173C1">
        <w:rPr>
          <w:szCs w:val="24"/>
        </w:rPr>
        <w:t>, m</w:t>
      </w:r>
      <w:r w:rsidRPr="00637448">
        <w:rPr>
          <w:szCs w:val="24"/>
        </w:rPr>
        <w:t xml:space="preserve">ild </w:t>
      </w:r>
      <w:r w:rsidR="007173C1" w:rsidRPr="00637448">
        <w:rPr>
          <w:szCs w:val="24"/>
        </w:rPr>
        <w:t>cognitive impairment</w:t>
      </w:r>
      <w:r w:rsidR="007173C1">
        <w:rPr>
          <w:szCs w:val="24"/>
        </w:rPr>
        <w:t>;</w:t>
      </w:r>
      <w:r w:rsidRPr="00637448">
        <w:rPr>
          <w:szCs w:val="24"/>
        </w:rPr>
        <w:t xml:space="preserve"> MMSE</w:t>
      </w:r>
      <w:r w:rsidR="007173C1">
        <w:rPr>
          <w:szCs w:val="24"/>
        </w:rPr>
        <w:t xml:space="preserve">, </w:t>
      </w:r>
      <w:r w:rsidRPr="00637448">
        <w:rPr>
          <w:szCs w:val="24"/>
        </w:rPr>
        <w:t>Mini</w:t>
      </w:r>
      <w:r w:rsidR="007173C1">
        <w:rPr>
          <w:szCs w:val="24"/>
        </w:rPr>
        <w:t>-</w:t>
      </w:r>
      <w:r w:rsidRPr="00637448">
        <w:rPr>
          <w:szCs w:val="24"/>
        </w:rPr>
        <w:t>Mental State Examination</w:t>
      </w:r>
      <w:r w:rsidR="007173C1">
        <w:rPr>
          <w:szCs w:val="24"/>
        </w:rPr>
        <w:t>;</w:t>
      </w:r>
      <w:r w:rsidRPr="00637448">
        <w:rPr>
          <w:szCs w:val="24"/>
        </w:rPr>
        <w:t xml:space="preserve"> n</w:t>
      </w:r>
      <w:r w:rsidR="007173C1">
        <w:rPr>
          <w:szCs w:val="24"/>
        </w:rPr>
        <w:t xml:space="preserve">, </w:t>
      </w:r>
      <w:r w:rsidRPr="00637448">
        <w:rPr>
          <w:szCs w:val="24"/>
        </w:rPr>
        <w:t>sample size</w:t>
      </w:r>
      <w:r w:rsidR="007173C1">
        <w:rPr>
          <w:szCs w:val="24"/>
        </w:rPr>
        <w:t>;</w:t>
      </w:r>
      <w:r w:rsidRPr="00637448">
        <w:rPr>
          <w:szCs w:val="24"/>
        </w:rPr>
        <w:t xml:space="preserve"> NC</w:t>
      </w:r>
      <w:r w:rsidR="007173C1">
        <w:rPr>
          <w:szCs w:val="24"/>
        </w:rPr>
        <w:t>, n</w:t>
      </w:r>
      <w:r w:rsidRPr="00637448">
        <w:rPr>
          <w:szCs w:val="24"/>
        </w:rPr>
        <w:t xml:space="preserve">ormal </w:t>
      </w:r>
      <w:r w:rsidR="007173C1">
        <w:rPr>
          <w:szCs w:val="24"/>
        </w:rPr>
        <w:t>c</w:t>
      </w:r>
      <w:r w:rsidRPr="00637448">
        <w:rPr>
          <w:szCs w:val="24"/>
        </w:rPr>
        <w:t>ognition</w:t>
      </w:r>
      <w:r w:rsidR="007173C1">
        <w:rPr>
          <w:szCs w:val="24"/>
        </w:rPr>
        <w:t>;</w:t>
      </w:r>
      <w:r w:rsidRPr="00637448">
        <w:rPr>
          <w:szCs w:val="24"/>
        </w:rPr>
        <w:t xml:space="preserve"> RAVLT</w:t>
      </w:r>
      <w:r w:rsidR="007173C1">
        <w:rPr>
          <w:szCs w:val="24"/>
        </w:rPr>
        <w:t xml:space="preserve">, </w:t>
      </w:r>
      <w:r w:rsidRPr="00637448">
        <w:rPr>
          <w:szCs w:val="24"/>
        </w:rPr>
        <w:t xml:space="preserve">Rey Auditory Verbal Learning Test. Note: Red indicated the ADAS-Cog-11 required the largest sample size of all outcome measures assessed (worst performance). </w:t>
      </w:r>
    </w:p>
    <w:p w:rsidR="00015189" w:rsidRPr="00637448" w:rsidRDefault="00015189" w:rsidP="007173C1">
      <w:pPr>
        <w:tabs>
          <w:tab w:val="left" w:pos="360"/>
        </w:tabs>
        <w:spacing w:before="0" w:line="240" w:lineRule="auto"/>
        <w:rPr>
          <w:szCs w:val="24"/>
        </w:rPr>
      </w:pPr>
    </w:p>
    <w:p w:rsidR="00015189" w:rsidRPr="00637448" w:rsidRDefault="00015189" w:rsidP="007173C1">
      <w:pPr>
        <w:pStyle w:val="BodyText"/>
        <w:tabs>
          <w:tab w:val="left" w:pos="360"/>
        </w:tabs>
        <w:spacing w:before="0" w:line="240" w:lineRule="auto"/>
        <w:rPr>
          <w:b/>
          <w:szCs w:val="24"/>
        </w:rPr>
        <w:sectPr w:rsidR="00015189" w:rsidRPr="00637448" w:rsidSect="00242AF9">
          <w:pgSz w:w="12240" w:h="15840"/>
          <w:pgMar w:top="1440" w:right="1440" w:bottom="1440" w:left="1440" w:header="708" w:footer="708" w:gutter="0"/>
          <w:cols w:space="708"/>
          <w:titlePg/>
          <w:docGrid w:linePitch="360"/>
        </w:sectPr>
      </w:pPr>
    </w:p>
    <w:p w:rsidR="00015189" w:rsidRPr="00637448" w:rsidRDefault="00015189" w:rsidP="007173C1">
      <w:pPr>
        <w:tabs>
          <w:tab w:val="left" w:pos="360"/>
        </w:tabs>
        <w:spacing w:before="0" w:line="240" w:lineRule="auto"/>
        <w:outlineLvl w:val="0"/>
        <w:rPr>
          <w:b/>
          <w:szCs w:val="24"/>
        </w:rPr>
      </w:pPr>
    </w:p>
    <w:tbl>
      <w:tblPr>
        <w:tblStyle w:val="TableGrid"/>
        <w:tblW w:w="12865" w:type="dxa"/>
        <w:tblBorders>
          <w:insideV w:val="none" w:sz="0" w:space="0" w:color="auto"/>
        </w:tblBorders>
        <w:tblLayout w:type="fixed"/>
        <w:tblLook w:val="04A0" w:firstRow="1" w:lastRow="0" w:firstColumn="1" w:lastColumn="0" w:noHBand="0" w:noVBand="1"/>
      </w:tblPr>
      <w:tblGrid>
        <w:gridCol w:w="1413"/>
        <w:gridCol w:w="3892"/>
        <w:gridCol w:w="3870"/>
        <w:gridCol w:w="3690"/>
      </w:tblGrid>
      <w:tr w:rsidR="008F14F7" w:rsidRPr="007173C1" w:rsidTr="007173C1">
        <w:tc>
          <w:tcPr>
            <w:tcW w:w="12865" w:type="dxa"/>
            <w:gridSpan w:val="4"/>
            <w:tcBorders>
              <w:top w:val="nil"/>
              <w:left w:val="nil"/>
              <w:right w:val="nil"/>
            </w:tcBorders>
            <w:shd w:val="clear" w:color="auto" w:fill="auto"/>
          </w:tcPr>
          <w:p w:rsidR="008F14F7" w:rsidRPr="007173C1" w:rsidRDefault="008F14F7" w:rsidP="007173C1">
            <w:pPr>
              <w:tabs>
                <w:tab w:val="left" w:pos="360"/>
              </w:tabs>
              <w:spacing w:before="0" w:line="240" w:lineRule="auto"/>
              <w:outlineLvl w:val="0"/>
              <w:rPr>
                <w:b/>
                <w:sz w:val="22"/>
                <w:szCs w:val="22"/>
              </w:rPr>
            </w:pPr>
            <w:r w:rsidRPr="007173C1">
              <w:rPr>
                <w:b/>
                <w:sz w:val="22"/>
                <w:szCs w:val="22"/>
              </w:rPr>
              <w:t>Supplementary Table 5</w:t>
            </w:r>
            <w:r w:rsidR="007173C1">
              <w:rPr>
                <w:b/>
                <w:sz w:val="22"/>
                <w:szCs w:val="22"/>
              </w:rPr>
              <w:t>.</w:t>
            </w:r>
            <w:r w:rsidRPr="007173C1">
              <w:rPr>
                <w:b/>
                <w:sz w:val="22"/>
                <w:szCs w:val="22"/>
              </w:rPr>
              <w:t xml:space="preserve"> </w:t>
            </w:r>
            <w:r w:rsidRPr="007173C1">
              <w:rPr>
                <w:sz w:val="22"/>
                <w:szCs w:val="22"/>
              </w:rPr>
              <w:t>Responsiveness of ADAS-Cog-11 Modifications</w:t>
            </w:r>
            <w:r w:rsidRPr="007173C1">
              <w:rPr>
                <w:b/>
                <w:sz w:val="22"/>
                <w:szCs w:val="22"/>
              </w:rPr>
              <w:t xml:space="preserve"> </w:t>
            </w:r>
          </w:p>
        </w:tc>
      </w:tr>
      <w:tr w:rsidR="00015189" w:rsidRPr="007173C1" w:rsidTr="0041797A">
        <w:tc>
          <w:tcPr>
            <w:tcW w:w="1413" w:type="dxa"/>
            <w:shd w:val="clear" w:color="auto" w:fill="auto"/>
          </w:tcPr>
          <w:p w:rsidR="00015189" w:rsidRPr="007173C1" w:rsidRDefault="00015189" w:rsidP="007173C1">
            <w:pPr>
              <w:tabs>
                <w:tab w:val="left" w:pos="360"/>
              </w:tabs>
              <w:spacing w:before="0" w:line="240" w:lineRule="auto"/>
              <w:rPr>
                <w:b/>
                <w:sz w:val="22"/>
                <w:szCs w:val="22"/>
              </w:rPr>
            </w:pPr>
            <w:r w:rsidRPr="007173C1">
              <w:rPr>
                <w:b/>
                <w:sz w:val="22"/>
                <w:szCs w:val="22"/>
              </w:rPr>
              <w:t>Outcome Measure</w:t>
            </w:r>
          </w:p>
        </w:tc>
        <w:tc>
          <w:tcPr>
            <w:tcW w:w="3892" w:type="dxa"/>
            <w:shd w:val="clear" w:color="auto" w:fill="auto"/>
          </w:tcPr>
          <w:p w:rsidR="00015189" w:rsidRPr="007173C1" w:rsidRDefault="00015189" w:rsidP="007173C1">
            <w:pPr>
              <w:tabs>
                <w:tab w:val="left" w:pos="360"/>
              </w:tabs>
              <w:spacing w:before="0" w:line="240" w:lineRule="auto"/>
              <w:rPr>
                <w:b/>
                <w:sz w:val="22"/>
                <w:szCs w:val="22"/>
              </w:rPr>
            </w:pPr>
            <w:r w:rsidRPr="007173C1">
              <w:rPr>
                <w:b/>
                <w:sz w:val="22"/>
                <w:szCs w:val="22"/>
              </w:rPr>
              <w:t xml:space="preserve">Baseline Discrimination </w:t>
            </w:r>
          </w:p>
        </w:tc>
        <w:tc>
          <w:tcPr>
            <w:tcW w:w="3870" w:type="dxa"/>
            <w:shd w:val="clear" w:color="auto" w:fill="auto"/>
          </w:tcPr>
          <w:p w:rsidR="00015189" w:rsidRPr="007173C1" w:rsidRDefault="00015189" w:rsidP="007173C1">
            <w:pPr>
              <w:tabs>
                <w:tab w:val="left" w:pos="360"/>
              </w:tabs>
              <w:spacing w:before="0" w:line="240" w:lineRule="auto"/>
              <w:rPr>
                <w:b/>
                <w:sz w:val="22"/>
                <w:szCs w:val="22"/>
              </w:rPr>
            </w:pPr>
            <w:r w:rsidRPr="007173C1">
              <w:rPr>
                <w:b/>
                <w:sz w:val="22"/>
                <w:szCs w:val="22"/>
              </w:rPr>
              <w:t>Disease Progression</w:t>
            </w:r>
          </w:p>
        </w:tc>
        <w:tc>
          <w:tcPr>
            <w:tcW w:w="3690" w:type="dxa"/>
            <w:shd w:val="clear" w:color="auto" w:fill="auto"/>
          </w:tcPr>
          <w:p w:rsidR="00015189" w:rsidRPr="007173C1" w:rsidRDefault="00015189" w:rsidP="007173C1">
            <w:pPr>
              <w:tabs>
                <w:tab w:val="left" w:pos="360"/>
              </w:tabs>
              <w:spacing w:before="0" w:line="240" w:lineRule="auto"/>
              <w:rPr>
                <w:b/>
                <w:sz w:val="22"/>
                <w:szCs w:val="22"/>
              </w:rPr>
            </w:pPr>
            <w:r w:rsidRPr="007173C1">
              <w:rPr>
                <w:b/>
                <w:sz w:val="22"/>
                <w:szCs w:val="22"/>
              </w:rPr>
              <w:t xml:space="preserve">Treatment Effect </w:t>
            </w:r>
          </w:p>
        </w:tc>
      </w:tr>
      <w:tr w:rsidR="00015189" w:rsidRPr="007173C1" w:rsidTr="0041797A">
        <w:tc>
          <w:tcPr>
            <w:tcW w:w="1413" w:type="dxa"/>
          </w:tcPr>
          <w:p w:rsidR="00015189" w:rsidRPr="007173C1" w:rsidRDefault="00316B40" w:rsidP="007173C1">
            <w:pPr>
              <w:tabs>
                <w:tab w:val="left" w:pos="360"/>
              </w:tabs>
              <w:spacing w:before="0" w:line="240" w:lineRule="auto"/>
              <w:rPr>
                <w:b/>
                <w:sz w:val="22"/>
                <w:szCs w:val="22"/>
                <w:vertAlign w:val="superscript"/>
              </w:rPr>
            </w:pPr>
            <w:r w:rsidRPr="007173C1">
              <w:rPr>
                <w:b/>
                <w:sz w:val="22"/>
                <w:szCs w:val="22"/>
              </w:rPr>
              <w:t>ADAS-Cog 13 [90</w:t>
            </w:r>
            <w:r w:rsidR="00015189" w:rsidRPr="007173C1">
              <w:rPr>
                <w:b/>
                <w:sz w:val="22"/>
                <w:szCs w:val="22"/>
              </w:rPr>
              <w:t>]</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Mean score lower for 229 subjects with NC (mean=9.5, SD=4.1) than 394 subjects with MCI (mean=18.6, SD=6.2) and 187 subjects with AD (mean=28.9, SD=7.6)</w:t>
            </w:r>
            <w:r w:rsidR="00D06985">
              <w:rPr>
                <w:sz w:val="22"/>
                <w:szCs w:val="22"/>
              </w:rPr>
              <w:t xml:space="preserve"> </w:t>
            </w:r>
            <w:r w:rsidRPr="007173C1">
              <w:rPr>
                <w:sz w:val="22"/>
                <w:szCs w:val="22"/>
              </w:rPr>
              <w:t>[25]. In a separate analysis, mean ADAS-Cog 13 score for 382 subjects with MCI (mean=15.23, SD=6.68) was lower than that of 97 subjects with mild AD (mean=29.91, SD=7.44)</w:t>
            </w:r>
            <w:r w:rsidR="00D06985">
              <w:rPr>
                <w:sz w:val="22"/>
                <w:szCs w:val="22"/>
              </w:rPr>
              <w:t xml:space="preserve"> </w:t>
            </w:r>
            <w:r w:rsidRPr="007173C1">
              <w:rPr>
                <w:sz w:val="22"/>
                <w:szCs w:val="22"/>
              </w:rPr>
              <w:t>[2]. Statistical significance of the above differences was not tested.</w:t>
            </w:r>
            <w:r w:rsidRPr="007173C1" w:rsidDel="0085679E">
              <w:rPr>
                <w:sz w:val="22"/>
                <w:szCs w:val="22"/>
              </w:rPr>
              <w:t xml:space="preserve"> </w:t>
            </w: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vertAlign w:val="superscript"/>
              </w:rPr>
            </w:pPr>
            <w:r w:rsidRPr="007173C1">
              <w:rPr>
                <w:sz w:val="22"/>
                <w:szCs w:val="22"/>
              </w:rPr>
              <w:t>There was little change on the ADAS-Cog 13 for 382 subjects with MCI over 24 months (mean change=1.34 points) or for 168 subjects with MCI over 36 months (mean change=2.59 points)</w:t>
            </w:r>
            <w:r w:rsidR="00D06985">
              <w:rPr>
                <w:sz w:val="22"/>
                <w:szCs w:val="22"/>
              </w:rPr>
              <w:t xml:space="preserve"> </w:t>
            </w:r>
            <w:r w:rsidRPr="007173C1">
              <w:rPr>
                <w:sz w:val="22"/>
                <w:szCs w:val="22"/>
              </w:rPr>
              <w:t>[2]. There was slightly more change detected in an enriched MCI subgroup (mean 24 month change=2.63 points; mean 36 month change=5.02 points), and no meaningful change on the ADAS-Cog 13 in a non-enriched MCI subgroup (mean 24 month change=-0.18 points, mean 36 month change=-0.15 points)</w:t>
            </w:r>
            <w:r w:rsidR="00D06985">
              <w:rPr>
                <w:sz w:val="22"/>
                <w:szCs w:val="22"/>
              </w:rPr>
              <w:t xml:space="preserve"> </w:t>
            </w:r>
            <w:r w:rsidRPr="007173C1">
              <w:rPr>
                <w:sz w:val="22"/>
                <w:szCs w:val="22"/>
              </w:rPr>
              <w:t>[2]. Among 97 subjects with mild AD there was a modest change in mean ADAS-Cog 13 score over 12 months (mean change=4.35 points) and among 38 subjects with AD over 24 months (mean change=9.46 points)</w:t>
            </w:r>
            <w:r w:rsidR="00D06985">
              <w:rPr>
                <w:sz w:val="22"/>
                <w:szCs w:val="22"/>
              </w:rPr>
              <w:t xml:space="preserve"> </w:t>
            </w:r>
            <w:r w:rsidRPr="007173C1">
              <w:rPr>
                <w:sz w:val="22"/>
                <w:szCs w:val="22"/>
              </w:rPr>
              <w:t>[2]. The SRM for change over 24 months in 382 subjects with MCI, adjusting for baseline age, baseline MMSE score, sex, and APOE</w:t>
            </w:r>
            <w:r w:rsidR="00A92CD6">
              <w:rPr>
                <w:sz w:val="22"/>
                <w:szCs w:val="22"/>
              </w:rPr>
              <w:t xml:space="preserve"> </w:t>
            </w:r>
            <w:r w:rsidR="00A92CD6">
              <w:rPr>
                <w:color w:val="000000"/>
                <w:szCs w:val="24"/>
              </w:rPr>
              <w:sym w:font="Symbol" w:char="F065"/>
            </w:r>
            <w:r w:rsidRPr="007173C1">
              <w:rPr>
                <w:sz w:val="22"/>
                <w:szCs w:val="22"/>
              </w:rPr>
              <w:t>4 allele, was 0.39 (95% CI 0.16, 0.60) for the ADAS-Cog 13 compared to 0.37 (95% CI 0.15, 0.57) for the ADAS-Cog 11 [2]. The SRM for change over 12 months in 97 subjects with AD was 0.98 (95% CI 0.58, 1.26) for the ADAS-Cog 13 and 0.87 (95% CI 0.46, 1.13) for the ADAS-Cog 11 [2].</w:t>
            </w:r>
            <w:r w:rsidRPr="007173C1" w:rsidDel="00DD205F">
              <w:rPr>
                <w:sz w:val="22"/>
                <w:szCs w:val="22"/>
              </w:rPr>
              <w:t xml:space="preserve"> </w:t>
            </w:r>
            <w:r w:rsidRPr="007173C1">
              <w:rPr>
                <w:sz w:val="22"/>
                <w:szCs w:val="22"/>
              </w:rPr>
              <w:t xml:space="preserve">Skinner et al. (2012) found the Z-statistic for change over time in 394 subjects with MCI was slightly </w:t>
            </w:r>
            <w:r w:rsidRPr="007173C1">
              <w:rPr>
                <w:sz w:val="22"/>
                <w:szCs w:val="22"/>
              </w:rPr>
              <w:lastRenderedPageBreak/>
              <w:t>larger for the ADAS-Cog 13 (Z=10.70) than for the ADAS-Cog 11 (Z=9.44), adjusting for age, education, gender, and APOE</w:t>
            </w:r>
            <w:r w:rsidR="00A92CD6">
              <w:rPr>
                <w:sz w:val="22"/>
                <w:szCs w:val="22"/>
              </w:rPr>
              <w:t xml:space="preserve"> </w:t>
            </w:r>
            <w:r w:rsidR="00A92CD6">
              <w:rPr>
                <w:color w:val="000000"/>
                <w:szCs w:val="24"/>
              </w:rPr>
              <w:sym w:font="Symbol" w:char="F065"/>
            </w:r>
            <w:r w:rsidRPr="007173C1">
              <w:rPr>
                <w:sz w:val="22"/>
                <w:szCs w:val="22"/>
              </w:rPr>
              <w:t>4 allele [25].</w:t>
            </w:r>
            <w:r w:rsidRPr="007173C1">
              <w:rPr>
                <w:sz w:val="22"/>
                <w:szCs w:val="22"/>
                <w:vertAlign w:val="superscript"/>
              </w:rPr>
              <w:t xml:space="preserve"> </w:t>
            </w:r>
            <w:proofErr w:type="spellStart"/>
            <w:r w:rsidRPr="007173C1">
              <w:rPr>
                <w:sz w:val="22"/>
                <w:szCs w:val="22"/>
              </w:rPr>
              <w:t>Raghavan</w:t>
            </w:r>
            <w:proofErr w:type="spellEnd"/>
            <w:r w:rsidRPr="007173C1">
              <w:rPr>
                <w:sz w:val="22"/>
                <w:szCs w:val="22"/>
              </w:rPr>
              <w:t xml:space="preserve"> et al. (2013) also found the ADAS-Cog 13 had larger standardized two-year change than the ADAS-Cog 11 in an MCI sample [15].</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lastRenderedPageBreak/>
              <w:t>The estimated sample size per group to detect a 25% decrease over 12 months in subjects with MCI with 80% power and an alpha of 0.05 was smaller for the ADAS-Cog 13 (n=900) than for the ADAS-Cog 11 (n=1230)</w:t>
            </w:r>
            <w:r w:rsidR="00D06985">
              <w:rPr>
                <w:sz w:val="22"/>
                <w:szCs w:val="22"/>
              </w:rPr>
              <w:t xml:space="preserve"> </w:t>
            </w:r>
            <w:r w:rsidRPr="007173C1">
              <w:rPr>
                <w:sz w:val="22"/>
                <w:szCs w:val="22"/>
              </w:rPr>
              <w:t xml:space="preserve">[25]. </w:t>
            </w:r>
          </w:p>
          <w:p w:rsidR="00015189" w:rsidRPr="007173C1" w:rsidRDefault="00015189" w:rsidP="007173C1">
            <w:pPr>
              <w:tabs>
                <w:tab w:val="left" w:pos="360"/>
              </w:tabs>
              <w:spacing w:before="0" w:line="240" w:lineRule="auto"/>
              <w:rPr>
                <w:sz w:val="22"/>
                <w:szCs w:val="22"/>
              </w:rPr>
            </w:pPr>
            <w:r w:rsidRPr="007173C1">
              <w:rPr>
                <w:sz w:val="22"/>
                <w:szCs w:val="22"/>
              </w:rPr>
              <w:t>In a separate study the estimated sample size to detect a hypothetical 25% treatment effect over 2 years in subjects with MCI with 80% power was also smaller for the ADAS-Cog 13 (n=582) than for the ADAS-Cog 11 (n=772)</w:t>
            </w:r>
            <w:r w:rsidR="00D06985">
              <w:rPr>
                <w:sz w:val="22"/>
                <w:szCs w:val="22"/>
              </w:rPr>
              <w:t xml:space="preserve"> </w:t>
            </w:r>
            <w:r w:rsidRPr="007173C1">
              <w:rPr>
                <w:sz w:val="22"/>
                <w:szCs w:val="22"/>
              </w:rPr>
              <w:t xml:space="preserve">[15]. </w:t>
            </w:r>
          </w:p>
          <w:p w:rsidR="00015189" w:rsidRPr="007173C1" w:rsidRDefault="00015189" w:rsidP="007173C1">
            <w:pPr>
              <w:tabs>
                <w:tab w:val="left" w:pos="360"/>
              </w:tabs>
              <w:spacing w:before="0" w:line="240" w:lineRule="auto"/>
              <w:rPr>
                <w:sz w:val="22"/>
                <w:szCs w:val="22"/>
                <w:vertAlign w:val="superscript"/>
              </w:rPr>
            </w:pPr>
          </w:p>
        </w:tc>
      </w:tr>
      <w:tr w:rsidR="00015189" w:rsidRPr="007173C1" w:rsidTr="0041797A">
        <w:tc>
          <w:tcPr>
            <w:tcW w:w="1413" w:type="dxa"/>
          </w:tcPr>
          <w:p w:rsidR="00015189" w:rsidRPr="007173C1" w:rsidRDefault="00316B40" w:rsidP="007173C1">
            <w:pPr>
              <w:tabs>
                <w:tab w:val="left" w:pos="360"/>
              </w:tabs>
              <w:spacing w:before="0" w:line="240" w:lineRule="auto"/>
              <w:rPr>
                <w:b/>
                <w:sz w:val="22"/>
                <w:szCs w:val="22"/>
              </w:rPr>
            </w:pPr>
            <w:proofErr w:type="spellStart"/>
            <w:r w:rsidRPr="007173C1">
              <w:rPr>
                <w:b/>
                <w:sz w:val="22"/>
                <w:szCs w:val="22"/>
              </w:rPr>
              <w:lastRenderedPageBreak/>
              <w:t>VaDAS</w:t>
            </w:r>
            <w:proofErr w:type="spellEnd"/>
            <w:r w:rsidRPr="007173C1">
              <w:rPr>
                <w:b/>
                <w:sz w:val="22"/>
                <w:szCs w:val="22"/>
              </w:rPr>
              <w:t xml:space="preserve"> [91,92</w:t>
            </w:r>
            <w:r w:rsidR="00015189" w:rsidRPr="007173C1">
              <w:rPr>
                <w:b/>
                <w:sz w:val="22"/>
                <w:szCs w:val="22"/>
              </w:rPr>
              <w:t>]</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rPr>
            </w:pPr>
            <w:r w:rsidRPr="007173C1">
              <w:rPr>
                <w:b/>
                <w:sz w:val="22"/>
                <w:szCs w:val="22"/>
              </w:rPr>
              <w:t>ADAS-</w:t>
            </w:r>
            <w:r w:rsidR="009109A0" w:rsidRPr="007173C1">
              <w:rPr>
                <w:b/>
                <w:sz w:val="22"/>
                <w:szCs w:val="22"/>
              </w:rPr>
              <w:t>Cog-</w:t>
            </w:r>
            <w:r w:rsidRPr="007173C1">
              <w:rPr>
                <w:b/>
                <w:sz w:val="22"/>
                <w:szCs w:val="22"/>
              </w:rPr>
              <w:t>12 [</w:t>
            </w:r>
            <w:r w:rsidR="00316B40" w:rsidRPr="007173C1">
              <w:rPr>
                <w:b/>
                <w:sz w:val="22"/>
                <w:szCs w:val="22"/>
              </w:rPr>
              <w:t>9,28,93</w:t>
            </w:r>
            <w:r w:rsidRPr="007173C1">
              <w:rPr>
                <w:b/>
                <w:sz w:val="22"/>
                <w:szCs w:val="22"/>
              </w:rPr>
              <w:t>]</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Sano et al. (2011) showed that 111 subjects with AD had significantly higher mean scores (</w:t>
            </w:r>
            <w:r w:rsidR="007173C1">
              <w:rPr>
                <w:sz w:val="22"/>
                <w:szCs w:val="22"/>
              </w:rPr>
              <w:t>p</w:t>
            </w:r>
            <w:r w:rsidRPr="007173C1">
              <w:rPr>
                <w:sz w:val="22"/>
                <w:szCs w:val="22"/>
              </w:rPr>
              <w:t>&lt;0.001) on the ADAS-Cog 12 (mean=33.27 points, SD=10.3) than 259 subjects with MCI (mean=17.22 points, SD=5.9)</w:t>
            </w:r>
            <w:r w:rsidR="00D06985">
              <w:rPr>
                <w:sz w:val="22"/>
                <w:szCs w:val="22"/>
              </w:rPr>
              <w:t xml:space="preserve"> </w:t>
            </w:r>
            <w:r w:rsidRPr="007173C1">
              <w:rPr>
                <w:sz w:val="22"/>
                <w:szCs w:val="22"/>
              </w:rPr>
              <w:t>[28].</w:t>
            </w: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12 month unadjusted change scores were significantly different between MCI and AD groups for the ADAS-Cog 11 (</w:t>
            </w:r>
            <w:r w:rsidRPr="007173C1">
              <w:rPr>
                <w:i/>
                <w:sz w:val="22"/>
                <w:szCs w:val="22"/>
              </w:rPr>
              <w:t>t</w:t>
            </w:r>
            <w:r w:rsidRPr="007173C1">
              <w:rPr>
                <w:sz w:val="22"/>
                <w:szCs w:val="22"/>
              </w:rPr>
              <w:t xml:space="preserve">=4.26, </w:t>
            </w:r>
            <w:r w:rsidR="007173C1">
              <w:rPr>
                <w:sz w:val="22"/>
                <w:szCs w:val="22"/>
              </w:rPr>
              <w:t>p</w:t>
            </w:r>
            <w:r w:rsidRPr="007173C1">
              <w:rPr>
                <w:sz w:val="22"/>
                <w:szCs w:val="22"/>
              </w:rPr>
              <w:t>&lt;0.001) and ADAS-Cog 12 (</w:t>
            </w:r>
            <w:r w:rsidRPr="007173C1">
              <w:rPr>
                <w:i/>
                <w:sz w:val="22"/>
                <w:szCs w:val="22"/>
              </w:rPr>
              <w:t>t</w:t>
            </w:r>
            <w:r w:rsidRPr="007173C1">
              <w:rPr>
                <w:sz w:val="22"/>
                <w:szCs w:val="22"/>
              </w:rPr>
              <w:t xml:space="preserve">=3.89, </w:t>
            </w:r>
            <w:r w:rsidR="007173C1">
              <w:rPr>
                <w:sz w:val="22"/>
                <w:szCs w:val="22"/>
              </w:rPr>
              <w:t>p</w:t>
            </w:r>
            <w:r w:rsidRPr="007173C1">
              <w:rPr>
                <w:sz w:val="22"/>
                <w:szCs w:val="22"/>
              </w:rPr>
              <w:t>&lt;0.001), but the Delayed Word Recall task on its own was not (</w:t>
            </w:r>
            <w:r w:rsidRPr="007173C1">
              <w:rPr>
                <w:i/>
                <w:sz w:val="22"/>
                <w:szCs w:val="22"/>
              </w:rPr>
              <w:t>t</w:t>
            </w:r>
            <w:r w:rsidRPr="007173C1">
              <w:rPr>
                <w:sz w:val="22"/>
                <w:szCs w:val="22"/>
              </w:rPr>
              <w:t xml:space="preserve">=-0.45, </w:t>
            </w:r>
            <w:r w:rsidR="007173C1">
              <w:rPr>
                <w:sz w:val="22"/>
                <w:szCs w:val="22"/>
              </w:rPr>
              <w:t>p</w:t>
            </w:r>
            <w:r w:rsidRPr="007173C1">
              <w:rPr>
                <w:sz w:val="22"/>
                <w:szCs w:val="22"/>
              </w:rPr>
              <w:t>=0.654)</w:t>
            </w:r>
            <w:r w:rsidR="00D06985">
              <w:rPr>
                <w:sz w:val="22"/>
                <w:szCs w:val="22"/>
              </w:rPr>
              <w:t xml:space="preserve"> </w:t>
            </w:r>
            <w:r w:rsidRPr="007173C1">
              <w:rPr>
                <w:sz w:val="22"/>
                <w:szCs w:val="22"/>
              </w:rPr>
              <w:t>[28]. Among the MCI group, the 12 month SRM was lower for the ADAS-Cog 11 (0.142) than for the ADAS-Cog 12 (0.160)</w:t>
            </w:r>
            <w:r w:rsidR="00D06985">
              <w:rPr>
                <w:sz w:val="22"/>
                <w:szCs w:val="22"/>
              </w:rPr>
              <w:t xml:space="preserve"> </w:t>
            </w:r>
            <w:r w:rsidRPr="007173C1">
              <w:rPr>
                <w:sz w:val="22"/>
                <w:szCs w:val="22"/>
              </w:rPr>
              <w:t>[28]. The ratio of the SRM for the ADAS-Cog 12 divided by the SRM for the ADAS-Cog 11 was used to show that including Delayed Word Recall with the ADAS-Cog 11 increased the SRM by 12% (more responsive)</w:t>
            </w:r>
            <w:r w:rsidR="00D06985">
              <w:rPr>
                <w:sz w:val="22"/>
                <w:szCs w:val="22"/>
              </w:rPr>
              <w:t xml:space="preserve"> </w:t>
            </w:r>
            <w:r w:rsidRPr="007173C1">
              <w:rPr>
                <w:sz w:val="22"/>
                <w:szCs w:val="22"/>
              </w:rPr>
              <w:t>[28].</w:t>
            </w:r>
            <w:r w:rsidRPr="007173C1">
              <w:rPr>
                <w:sz w:val="22"/>
                <w:szCs w:val="22"/>
                <w:vertAlign w:val="superscript"/>
              </w:rPr>
              <w:t xml:space="preserve"> </w:t>
            </w:r>
            <w:r w:rsidRPr="007173C1">
              <w:rPr>
                <w:sz w:val="22"/>
                <w:szCs w:val="22"/>
              </w:rPr>
              <w:t>For the AD group, the 12 month SRM was similar between the ADAS-Cog 11 (0.589) and ADAS-Cog 12 (0.569)</w:t>
            </w:r>
            <w:r w:rsidR="007173C1">
              <w:rPr>
                <w:sz w:val="22"/>
                <w:szCs w:val="22"/>
              </w:rPr>
              <w:t xml:space="preserve"> </w:t>
            </w:r>
            <w:r w:rsidRPr="007173C1">
              <w:rPr>
                <w:sz w:val="22"/>
                <w:szCs w:val="22"/>
              </w:rPr>
              <w:t xml:space="preserve">[28]. </w:t>
            </w:r>
          </w:p>
        </w:tc>
        <w:tc>
          <w:tcPr>
            <w:tcW w:w="3690" w:type="dxa"/>
          </w:tcPr>
          <w:p w:rsidR="00015189" w:rsidRPr="007173C1" w:rsidRDefault="00015189" w:rsidP="007173C1">
            <w:pPr>
              <w:tabs>
                <w:tab w:val="left" w:pos="360"/>
              </w:tabs>
              <w:spacing w:before="0" w:line="240" w:lineRule="auto"/>
              <w:rPr>
                <w:sz w:val="22"/>
                <w:szCs w:val="22"/>
                <w:vertAlign w:val="superscript"/>
              </w:rPr>
            </w:pPr>
            <w:r w:rsidRPr="007173C1">
              <w:rPr>
                <w:sz w:val="22"/>
                <w:szCs w:val="22"/>
              </w:rPr>
              <w:t>The estimated sample size required to detect a 33% treatment effect in MCI with 80% power was over 600 subjects lower for the ADAS-Cog 12 than the ADAS-Cog 11 [28]. In contrast, the ADAS-Cog 12 did not outperform the ADAS-Cog 11 for estimations of sample size needed for a trial of AD [28].</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TE4D-Cog [27]</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Scores were significantly better for 25 subjects with NC than for 178 subjects with AD both in terms of overall score (Mann-Whitney </w:t>
            </w:r>
            <w:r w:rsidRPr="007173C1">
              <w:rPr>
                <w:i/>
                <w:sz w:val="22"/>
                <w:szCs w:val="22"/>
              </w:rPr>
              <w:t>U</w:t>
            </w:r>
            <w:r w:rsidRPr="007173C1">
              <w:rPr>
                <w:sz w:val="22"/>
                <w:szCs w:val="22"/>
              </w:rPr>
              <w:t xml:space="preserve"> test (</w:t>
            </w:r>
            <w:r w:rsidRPr="007173C1">
              <w:rPr>
                <w:i/>
                <w:sz w:val="22"/>
                <w:szCs w:val="22"/>
              </w:rPr>
              <w:t>U</w:t>
            </w:r>
            <w:proofErr w:type="gramStart"/>
            <w:r w:rsidRPr="007173C1">
              <w:rPr>
                <w:sz w:val="22"/>
                <w:szCs w:val="22"/>
              </w:rPr>
              <w:t>)=</w:t>
            </w:r>
            <w:proofErr w:type="gramEnd"/>
            <w:r w:rsidRPr="007173C1">
              <w:rPr>
                <w:sz w:val="22"/>
                <w:szCs w:val="22"/>
              </w:rPr>
              <w:t xml:space="preserve">24.0, </w:t>
            </w:r>
            <w:r w:rsidR="007173C1">
              <w:rPr>
                <w:sz w:val="22"/>
                <w:szCs w:val="22"/>
              </w:rPr>
              <w:t>p</w:t>
            </w:r>
            <w:r w:rsidRPr="007173C1">
              <w:rPr>
                <w:sz w:val="22"/>
                <w:szCs w:val="22"/>
              </w:rPr>
              <w:t>&lt;0.001), and each of the seven subscales (</w:t>
            </w:r>
            <w:r w:rsidR="007173C1">
              <w:rPr>
                <w:sz w:val="22"/>
                <w:szCs w:val="22"/>
              </w:rPr>
              <w:t>p</w:t>
            </w:r>
            <w:r w:rsidRPr="007173C1">
              <w:rPr>
                <w:sz w:val="22"/>
                <w:szCs w:val="22"/>
              </w:rPr>
              <w:t>&lt;0.001)</w:t>
            </w:r>
            <w:r w:rsidR="007173C1">
              <w:rPr>
                <w:sz w:val="22"/>
                <w:szCs w:val="22"/>
              </w:rPr>
              <w:t xml:space="preserve"> </w:t>
            </w:r>
            <w:r w:rsidRPr="007173C1">
              <w:rPr>
                <w:sz w:val="22"/>
                <w:szCs w:val="22"/>
              </w:rPr>
              <w:t xml:space="preserve">[27]. </w:t>
            </w: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For 148 subjects with AD, baseline (mean=16.2, SD=11.1) and six month follow-up scores (mean=14.2, SD=10.8) were correlated (</w:t>
            </w:r>
            <w:r w:rsidRPr="007173C1">
              <w:rPr>
                <w:i/>
                <w:sz w:val="22"/>
                <w:szCs w:val="22"/>
              </w:rPr>
              <w:t>r</w:t>
            </w:r>
            <w:r w:rsidRPr="007173C1">
              <w:rPr>
                <w:sz w:val="22"/>
                <w:szCs w:val="22"/>
              </w:rPr>
              <w:t xml:space="preserve">=0.90, I&lt;0.001) and there was a statistically significant worsening in scores over time (Wilcoxon signed rank test; Z=-4.9, </w:t>
            </w:r>
            <w:r w:rsidR="007173C1">
              <w:rPr>
                <w:sz w:val="22"/>
                <w:szCs w:val="22"/>
              </w:rPr>
              <w:t>p</w:t>
            </w:r>
            <w:r w:rsidRPr="007173C1">
              <w:rPr>
                <w:sz w:val="22"/>
                <w:szCs w:val="22"/>
              </w:rPr>
              <w:t>&lt;0.001)</w:t>
            </w:r>
            <w:r w:rsidR="007173C1">
              <w:rPr>
                <w:sz w:val="22"/>
                <w:szCs w:val="22"/>
              </w:rPr>
              <w:t xml:space="preserve"> </w:t>
            </w:r>
            <w:proofErr w:type="gramStart"/>
            <w:r w:rsidR="007173C1">
              <w:rPr>
                <w:sz w:val="22"/>
                <w:szCs w:val="22"/>
              </w:rPr>
              <w:lastRenderedPageBreak/>
              <w:t>m</w:t>
            </w:r>
            <w:r w:rsidRPr="007173C1">
              <w:rPr>
                <w:sz w:val="22"/>
                <w:szCs w:val="22"/>
              </w:rPr>
              <w:t>[</w:t>
            </w:r>
            <w:proofErr w:type="gramEnd"/>
            <w:r w:rsidRPr="007173C1">
              <w:rPr>
                <w:sz w:val="22"/>
                <w:szCs w:val="22"/>
              </w:rPr>
              <w:t>27].</w:t>
            </w: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41797A" w:rsidP="007173C1">
            <w:pPr>
              <w:tabs>
                <w:tab w:val="left" w:pos="360"/>
              </w:tabs>
              <w:spacing w:before="0" w:line="240" w:lineRule="auto"/>
              <w:rPr>
                <w:b/>
                <w:sz w:val="22"/>
                <w:szCs w:val="22"/>
                <w:vertAlign w:val="superscript"/>
              </w:rPr>
            </w:pPr>
            <w:r w:rsidRPr="007173C1">
              <w:rPr>
                <w:b/>
                <w:sz w:val="22"/>
                <w:szCs w:val="22"/>
              </w:rPr>
              <w:lastRenderedPageBreak/>
              <w:t>Pooled Index [95</w:t>
            </w:r>
            <w:r w:rsidR="00015189" w:rsidRPr="007173C1">
              <w:rPr>
                <w:b/>
                <w:sz w:val="22"/>
                <w:szCs w:val="22"/>
              </w:rPr>
              <w:t>]</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Effect sizes were calculated for secondary analysis of a clinical trial for each individual subscale measure as well as the full Pooled Index for 3, 6, and 12 months of follow-up (Effect size=linear regression coefficient/SE of linear regression coefficient). None of the individual subscale measures demonstrated a statistically significant treatment effect</w:t>
            </w:r>
            <w:r w:rsidR="0041797A" w:rsidRPr="007173C1">
              <w:rPr>
                <w:sz w:val="22"/>
                <w:szCs w:val="22"/>
              </w:rPr>
              <w:t xml:space="preserve"> at more than one time point [95</w:t>
            </w:r>
            <w:r w:rsidRPr="007173C1">
              <w:rPr>
                <w:sz w:val="22"/>
                <w:szCs w:val="22"/>
              </w:rPr>
              <w:t xml:space="preserve">]. The Pooled Index found a statistically significant treatment effect at the 3 month and 12 month, but not 6 </w:t>
            </w:r>
            <w:r w:rsidR="0041797A" w:rsidRPr="007173C1">
              <w:rPr>
                <w:sz w:val="22"/>
                <w:szCs w:val="22"/>
              </w:rPr>
              <w:t>month, follow-up assessments [95</w:t>
            </w:r>
            <w:r w:rsidRPr="007173C1">
              <w:rPr>
                <w:sz w:val="22"/>
                <w:szCs w:val="22"/>
              </w:rPr>
              <w:t>].</w:t>
            </w:r>
          </w:p>
          <w:p w:rsidR="00015189" w:rsidRPr="007173C1" w:rsidRDefault="00015189" w:rsidP="007173C1">
            <w:pPr>
              <w:tabs>
                <w:tab w:val="left" w:pos="360"/>
              </w:tabs>
              <w:spacing w:before="0" w:line="240" w:lineRule="auto"/>
              <w:rPr>
                <w:sz w:val="22"/>
                <w:szCs w:val="22"/>
              </w:rPr>
            </w:pPr>
            <w:r w:rsidRPr="007173C1">
              <w:rPr>
                <w:sz w:val="22"/>
                <w:szCs w:val="22"/>
              </w:rPr>
              <w:t xml:space="preserve">AUC analyses of individual scores plotted against time were performed for both the standardized ADAS-Cog 11 and the Pooled Index. The standardized ADAS-Cog 11 showed a statistically significant difference between treatment and placebo groups at the finite time period of 6 months, but not when assessing the 12 </w:t>
            </w:r>
            <w:r w:rsidR="0041797A" w:rsidRPr="007173C1">
              <w:rPr>
                <w:sz w:val="22"/>
                <w:szCs w:val="22"/>
              </w:rPr>
              <w:t>month time period as a whole [95</w:t>
            </w:r>
            <w:r w:rsidRPr="007173C1">
              <w:rPr>
                <w:sz w:val="22"/>
                <w:szCs w:val="22"/>
              </w:rPr>
              <w:t>]. The Pooled Index showed statistically significant difference between placebo and treatment groups over the entire 12 month period, and at the individual time points of 3 and 12</w:t>
            </w:r>
            <w:r w:rsidR="0041797A" w:rsidRPr="007173C1">
              <w:rPr>
                <w:sz w:val="22"/>
                <w:szCs w:val="22"/>
              </w:rPr>
              <w:t xml:space="preserve"> months, but not at 6 months [95</w:t>
            </w:r>
            <w:r w:rsidRPr="007173C1">
              <w:rPr>
                <w:sz w:val="22"/>
                <w:szCs w:val="22"/>
              </w:rPr>
              <w:t>].</w:t>
            </w:r>
            <w:r w:rsidRPr="007173C1" w:rsidDel="0045645F">
              <w:rPr>
                <w:sz w:val="22"/>
                <w:szCs w:val="22"/>
              </w:rPr>
              <w:t xml:space="preserve"> </w:t>
            </w:r>
          </w:p>
        </w:tc>
      </w:tr>
      <w:tr w:rsidR="00015189" w:rsidRPr="007173C1" w:rsidTr="0041797A">
        <w:tc>
          <w:tcPr>
            <w:tcW w:w="1413" w:type="dxa"/>
          </w:tcPr>
          <w:p w:rsidR="00015189" w:rsidRPr="007173C1" w:rsidRDefault="0041797A" w:rsidP="007173C1">
            <w:pPr>
              <w:tabs>
                <w:tab w:val="left" w:pos="360"/>
              </w:tabs>
              <w:spacing w:before="0" w:line="240" w:lineRule="auto"/>
              <w:rPr>
                <w:b/>
                <w:sz w:val="22"/>
                <w:szCs w:val="22"/>
                <w:vertAlign w:val="superscript"/>
              </w:rPr>
            </w:pPr>
            <w:r w:rsidRPr="007173C1">
              <w:rPr>
                <w:b/>
                <w:sz w:val="22"/>
                <w:szCs w:val="22"/>
              </w:rPr>
              <w:t>ADAS-</w:t>
            </w:r>
            <w:proofErr w:type="spellStart"/>
            <w:r w:rsidRPr="007173C1">
              <w:rPr>
                <w:b/>
                <w:sz w:val="22"/>
                <w:szCs w:val="22"/>
              </w:rPr>
              <w:t>Rasch</w:t>
            </w:r>
            <w:proofErr w:type="spellEnd"/>
            <w:r w:rsidRPr="007173C1">
              <w:rPr>
                <w:b/>
                <w:sz w:val="22"/>
                <w:szCs w:val="22"/>
              </w:rPr>
              <w:t xml:space="preserve"> [8</w:t>
            </w:r>
            <w:r w:rsidR="00316B40" w:rsidRPr="007173C1">
              <w:rPr>
                <w:b/>
                <w:sz w:val="22"/>
                <w:szCs w:val="22"/>
              </w:rPr>
              <w:t>6</w:t>
            </w:r>
            <w:r w:rsidR="00015189" w:rsidRPr="007173C1">
              <w:rPr>
                <w:b/>
                <w:sz w:val="22"/>
                <w:szCs w:val="22"/>
              </w:rPr>
              <w:t>]</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Skinner et al. (2012) found that mean scores on the ADAS-</w:t>
            </w:r>
            <w:proofErr w:type="spellStart"/>
            <w:r w:rsidRPr="007173C1">
              <w:rPr>
                <w:sz w:val="22"/>
                <w:szCs w:val="22"/>
              </w:rPr>
              <w:t>Rasch</w:t>
            </w:r>
            <w:proofErr w:type="spellEnd"/>
            <w:r w:rsidRPr="007173C1">
              <w:rPr>
                <w:sz w:val="22"/>
                <w:szCs w:val="22"/>
              </w:rPr>
              <w:t xml:space="preserve"> were lower for 229 subjects with NC (mean=4.8, SD=3.5) than for 394 subjects with MCI (mean=11.8, SD=5.5), or 187 subjects </w:t>
            </w:r>
            <w:r w:rsidRPr="007173C1">
              <w:rPr>
                <w:sz w:val="22"/>
                <w:szCs w:val="22"/>
              </w:rPr>
              <w:lastRenderedPageBreak/>
              <w:t>with AD (mean=19.5, SD=7.4</w:t>
            </w:r>
            <w:proofErr w:type="gramStart"/>
            <w:r w:rsidRPr="007173C1">
              <w:rPr>
                <w:sz w:val="22"/>
                <w:szCs w:val="22"/>
              </w:rPr>
              <w:t>)[</w:t>
            </w:r>
            <w:proofErr w:type="gramEnd"/>
            <w:r w:rsidRPr="007173C1">
              <w:rPr>
                <w:sz w:val="22"/>
                <w:szCs w:val="22"/>
              </w:rPr>
              <w:t>25].</w:t>
            </w:r>
          </w:p>
          <w:p w:rsidR="00015189" w:rsidRPr="007173C1" w:rsidRDefault="00015189" w:rsidP="007173C1">
            <w:pPr>
              <w:tabs>
                <w:tab w:val="left" w:pos="360"/>
              </w:tabs>
              <w:spacing w:before="0" w:line="240" w:lineRule="auto"/>
              <w:rPr>
                <w:sz w:val="22"/>
                <w:szCs w:val="22"/>
              </w:rPr>
            </w:pPr>
            <w:r w:rsidRPr="007173C1">
              <w:rPr>
                <w:sz w:val="22"/>
                <w:szCs w:val="22"/>
              </w:rPr>
              <w:t>Crane et al. (2012) found mean scores were lower for 225 subjects with NC (mean=4.8, SD=3.5) than for 394 subjects with MCI (mean=11.8, SD=5.5) and 184 subject</w:t>
            </w:r>
            <w:r w:rsidR="00FE7824" w:rsidRPr="007173C1">
              <w:rPr>
                <w:sz w:val="22"/>
                <w:szCs w:val="22"/>
              </w:rPr>
              <w:t>s with AD (mean=19.5, SD=7.4</w:t>
            </w:r>
            <w:proofErr w:type="gramStart"/>
            <w:r w:rsidR="00FE7824" w:rsidRPr="007173C1">
              <w:rPr>
                <w:sz w:val="22"/>
                <w:szCs w:val="22"/>
              </w:rPr>
              <w:t>)[</w:t>
            </w:r>
            <w:proofErr w:type="gramEnd"/>
            <w:r w:rsidR="00FE7824" w:rsidRPr="007173C1">
              <w:rPr>
                <w:sz w:val="22"/>
                <w:szCs w:val="22"/>
              </w:rPr>
              <w:t>35</w:t>
            </w:r>
            <w:r w:rsidRPr="007173C1">
              <w:rPr>
                <w:sz w:val="22"/>
                <w:szCs w:val="22"/>
              </w:rPr>
              <w:t>].</w:t>
            </w:r>
          </w:p>
        </w:tc>
        <w:tc>
          <w:tcPr>
            <w:tcW w:w="3870" w:type="dxa"/>
          </w:tcPr>
          <w:p w:rsidR="00015189" w:rsidRPr="007173C1" w:rsidRDefault="00015189" w:rsidP="007173C1">
            <w:pPr>
              <w:tabs>
                <w:tab w:val="left" w:pos="360"/>
              </w:tabs>
              <w:spacing w:before="0" w:line="240" w:lineRule="auto"/>
              <w:rPr>
                <w:sz w:val="22"/>
                <w:szCs w:val="22"/>
                <w:vertAlign w:val="superscript"/>
              </w:rPr>
            </w:pPr>
            <w:r w:rsidRPr="007173C1">
              <w:rPr>
                <w:sz w:val="22"/>
                <w:szCs w:val="22"/>
              </w:rPr>
              <w:lastRenderedPageBreak/>
              <w:t>The Z-score for change over time in 394 subjects with MCI, adjusted for age, education, gender, and APOE</w:t>
            </w:r>
            <w:r w:rsidR="007173C1">
              <w:rPr>
                <w:sz w:val="22"/>
                <w:szCs w:val="22"/>
              </w:rPr>
              <w:t xml:space="preserve"> </w:t>
            </w:r>
            <w:r w:rsidR="007173C1">
              <w:rPr>
                <w:sz w:val="22"/>
                <w:szCs w:val="22"/>
              </w:rPr>
              <w:sym w:font="Symbol" w:char="F065"/>
            </w:r>
            <w:r w:rsidRPr="007173C1">
              <w:rPr>
                <w:sz w:val="22"/>
                <w:szCs w:val="22"/>
              </w:rPr>
              <w:t>4 allele, was smaller for the ADAS-</w:t>
            </w:r>
            <w:proofErr w:type="spellStart"/>
            <w:r w:rsidRPr="007173C1">
              <w:rPr>
                <w:sz w:val="22"/>
                <w:szCs w:val="22"/>
              </w:rPr>
              <w:t>Rasch</w:t>
            </w:r>
            <w:proofErr w:type="spellEnd"/>
            <w:r w:rsidRPr="007173C1">
              <w:rPr>
                <w:sz w:val="22"/>
                <w:szCs w:val="22"/>
              </w:rPr>
              <w:t xml:space="preserve"> (Z=8.50) than the ADAS-Cog 11 </w:t>
            </w:r>
            <w:r w:rsidRPr="007173C1">
              <w:rPr>
                <w:sz w:val="22"/>
                <w:szCs w:val="22"/>
              </w:rPr>
              <w:lastRenderedPageBreak/>
              <w:t>(Z=9.44)</w:t>
            </w:r>
            <w:r w:rsidR="00D06985">
              <w:rPr>
                <w:sz w:val="22"/>
                <w:szCs w:val="22"/>
              </w:rPr>
              <w:t xml:space="preserve"> </w:t>
            </w:r>
            <w:r w:rsidRPr="007173C1">
              <w:rPr>
                <w:sz w:val="22"/>
                <w:szCs w:val="22"/>
              </w:rPr>
              <w:t>[25].</w:t>
            </w:r>
          </w:p>
          <w:p w:rsidR="00015189" w:rsidRPr="007173C1" w:rsidRDefault="00015189" w:rsidP="007173C1">
            <w:pPr>
              <w:tabs>
                <w:tab w:val="left" w:pos="360"/>
              </w:tabs>
              <w:spacing w:before="0" w:line="240" w:lineRule="auto"/>
              <w:rPr>
                <w:sz w:val="22"/>
                <w:szCs w:val="22"/>
              </w:rPr>
            </w:pPr>
            <w:r w:rsidRPr="007173C1">
              <w:rPr>
                <w:sz w:val="22"/>
                <w:szCs w:val="22"/>
              </w:rPr>
              <w:t>Similar analyses in a separate study found adjusted Z-scores for time were smaller for the ADAS-</w:t>
            </w:r>
            <w:proofErr w:type="spellStart"/>
            <w:r w:rsidRPr="007173C1">
              <w:rPr>
                <w:sz w:val="22"/>
                <w:szCs w:val="22"/>
              </w:rPr>
              <w:t>Rasch</w:t>
            </w:r>
            <w:proofErr w:type="spellEnd"/>
            <w:r w:rsidRPr="007173C1">
              <w:rPr>
                <w:sz w:val="22"/>
                <w:szCs w:val="22"/>
              </w:rPr>
              <w:t xml:space="preserve"> than ADAS-Cog 11 in NC (ADAS-</w:t>
            </w:r>
            <w:proofErr w:type="spellStart"/>
            <w:r w:rsidRPr="007173C1">
              <w:rPr>
                <w:sz w:val="22"/>
                <w:szCs w:val="22"/>
              </w:rPr>
              <w:t>Rasch</w:t>
            </w:r>
            <w:proofErr w:type="spellEnd"/>
            <w:r w:rsidRPr="007173C1">
              <w:rPr>
                <w:sz w:val="22"/>
                <w:szCs w:val="22"/>
              </w:rPr>
              <w:t>=3.10, ADAS-Cog 11=3.20), MCI (ADAS-</w:t>
            </w:r>
            <w:proofErr w:type="spellStart"/>
            <w:r w:rsidRPr="007173C1">
              <w:rPr>
                <w:sz w:val="22"/>
                <w:szCs w:val="22"/>
              </w:rPr>
              <w:t>Rasch</w:t>
            </w:r>
            <w:proofErr w:type="spellEnd"/>
            <w:r w:rsidRPr="007173C1">
              <w:rPr>
                <w:sz w:val="22"/>
                <w:szCs w:val="22"/>
              </w:rPr>
              <w:t>=-10.51, ADAS-Cog 11=-10.78), and AD (ADAS-</w:t>
            </w:r>
            <w:proofErr w:type="spellStart"/>
            <w:r w:rsidRPr="007173C1">
              <w:rPr>
                <w:sz w:val="22"/>
                <w:szCs w:val="22"/>
              </w:rPr>
              <w:t>Rasch</w:t>
            </w:r>
            <w:proofErr w:type="spellEnd"/>
            <w:r w:rsidRPr="007173C1">
              <w:rPr>
                <w:sz w:val="22"/>
                <w:szCs w:val="22"/>
              </w:rPr>
              <w:t>=-11.28, A</w:t>
            </w:r>
            <w:r w:rsidR="00FE7824" w:rsidRPr="007173C1">
              <w:rPr>
                <w:sz w:val="22"/>
                <w:szCs w:val="22"/>
              </w:rPr>
              <w:t>DAS-Cog 11=-12.25) samples [35</w:t>
            </w:r>
            <w:r w:rsidRPr="007173C1">
              <w:rPr>
                <w:sz w:val="22"/>
                <w:szCs w:val="22"/>
              </w:rPr>
              <w:t>].</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lastRenderedPageBreak/>
              <w:t>The estimated sample size per group to detect a 25% decrease over 12 months in MCI with 80% power and an alpha of 0.05 was larger for the ADAS-</w:t>
            </w:r>
            <w:proofErr w:type="spellStart"/>
            <w:r w:rsidRPr="007173C1">
              <w:rPr>
                <w:sz w:val="22"/>
                <w:szCs w:val="22"/>
              </w:rPr>
              <w:t>Rasch</w:t>
            </w:r>
            <w:proofErr w:type="spellEnd"/>
            <w:r w:rsidRPr="007173C1">
              <w:rPr>
                <w:sz w:val="22"/>
                <w:szCs w:val="22"/>
              </w:rPr>
              <w:t xml:space="preserve"> (n=1409) than for the ADAS-</w:t>
            </w:r>
            <w:r w:rsidRPr="007173C1">
              <w:rPr>
                <w:sz w:val="22"/>
                <w:szCs w:val="22"/>
              </w:rPr>
              <w:lastRenderedPageBreak/>
              <w:t>Cog 11 (n=1230)</w:t>
            </w:r>
            <w:r w:rsidR="00D06985">
              <w:rPr>
                <w:sz w:val="22"/>
                <w:szCs w:val="22"/>
              </w:rPr>
              <w:t xml:space="preserve"> </w:t>
            </w:r>
            <w:r w:rsidRPr="007173C1">
              <w:rPr>
                <w:sz w:val="22"/>
                <w:szCs w:val="22"/>
              </w:rPr>
              <w:t>[25]. Crane et al. (2012) found that the ADAS-</w:t>
            </w:r>
            <w:proofErr w:type="spellStart"/>
            <w:r w:rsidRPr="007173C1">
              <w:rPr>
                <w:sz w:val="22"/>
                <w:szCs w:val="22"/>
              </w:rPr>
              <w:t>Rasch</w:t>
            </w:r>
            <w:proofErr w:type="spellEnd"/>
            <w:r w:rsidRPr="007173C1">
              <w:rPr>
                <w:sz w:val="22"/>
                <w:szCs w:val="22"/>
              </w:rPr>
              <w:t xml:space="preserve"> required a larger estimated sample size than the ADAS-Cog 11 to detect a 25% decrease over 12 months, with 80% power and an alpha of 0.05, for NC (41,295 versus 37,971), MCI (1692 versus 1</w:t>
            </w:r>
            <w:r w:rsidR="00FE7824" w:rsidRPr="007173C1">
              <w:rPr>
                <w:sz w:val="22"/>
                <w:szCs w:val="22"/>
              </w:rPr>
              <w:t>651), and AD (346 versus 242)</w:t>
            </w:r>
            <w:r w:rsidR="00D06985">
              <w:rPr>
                <w:sz w:val="22"/>
                <w:szCs w:val="22"/>
              </w:rPr>
              <w:t xml:space="preserve"> </w:t>
            </w:r>
            <w:r w:rsidR="00FE7824" w:rsidRPr="007173C1">
              <w:rPr>
                <w:sz w:val="22"/>
                <w:szCs w:val="22"/>
              </w:rPr>
              <w:t>[35</w:t>
            </w:r>
            <w:r w:rsidRPr="007173C1">
              <w:rPr>
                <w:sz w:val="22"/>
                <w:szCs w:val="22"/>
              </w:rPr>
              <w:t>].</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lastRenderedPageBreak/>
              <w:t>ADAS-Tree [1]</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Statistically significant difference in scores across NC, MCI, and AD diagnostic categories (</w:t>
            </w:r>
            <w:r w:rsidR="007173C1">
              <w:rPr>
                <w:sz w:val="22"/>
                <w:szCs w:val="22"/>
              </w:rPr>
              <w:t>p</w:t>
            </w:r>
            <w:r w:rsidRPr="007173C1">
              <w:rPr>
                <w:sz w:val="22"/>
                <w:szCs w:val="22"/>
              </w:rPr>
              <w:t>&lt;0.0001)</w:t>
            </w:r>
            <w:r w:rsidR="00D06985">
              <w:rPr>
                <w:sz w:val="22"/>
                <w:szCs w:val="22"/>
              </w:rPr>
              <w:t xml:space="preserve"> </w:t>
            </w:r>
            <w:r w:rsidRPr="007173C1">
              <w:rPr>
                <w:sz w:val="22"/>
                <w:szCs w:val="22"/>
              </w:rPr>
              <w:t xml:space="preserve">[1]. The </w:t>
            </w:r>
            <w:proofErr w:type="spellStart"/>
            <w:r w:rsidRPr="007173C1">
              <w:rPr>
                <w:sz w:val="22"/>
                <w:szCs w:val="22"/>
              </w:rPr>
              <w:t>Kruskal</w:t>
            </w:r>
            <w:proofErr w:type="spellEnd"/>
            <w:r w:rsidRPr="007173C1">
              <w:rPr>
                <w:sz w:val="22"/>
                <w:szCs w:val="22"/>
              </w:rPr>
              <w:t>-Wallis test statistic used to assess the magnitude of difference between these categories was larger for the ADAS-Tree (401.1) than the ADAS-Cog 13 (393.3), ADAS-Cog 11 (378.9), and MMSE (368.8)</w:t>
            </w:r>
            <w:r w:rsidR="00D06985">
              <w:rPr>
                <w:sz w:val="22"/>
                <w:szCs w:val="22"/>
              </w:rPr>
              <w:t xml:space="preserve"> </w:t>
            </w:r>
            <w:r w:rsidRPr="007173C1">
              <w:rPr>
                <w:sz w:val="22"/>
                <w:szCs w:val="22"/>
              </w:rPr>
              <w:t xml:space="preserve">[1]. </w:t>
            </w:r>
          </w:p>
          <w:p w:rsidR="00015189" w:rsidRPr="007173C1" w:rsidRDefault="00015189" w:rsidP="007173C1">
            <w:pPr>
              <w:tabs>
                <w:tab w:val="left" w:pos="360"/>
              </w:tabs>
              <w:spacing w:before="0" w:line="240" w:lineRule="auto"/>
              <w:rPr>
                <w:sz w:val="22"/>
                <w:szCs w:val="22"/>
              </w:rPr>
            </w:pPr>
            <w:r w:rsidRPr="007173C1">
              <w:rPr>
                <w:sz w:val="22"/>
                <w:szCs w:val="22"/>
              </w:rPr>
              <w:t>A separate study found ADAS-Tree scores were lower for 229 subjects with NC (mean=7.9 points, SD=3.5) than 394 subjects with MCI (mean=15.9 points, SD=5.1), and 187 subjects with AD (mean=24.2 points, SD=5.6)</w:t>
            </w:r>
            <w:r w:rsidR="00D06985">
              <w:rPr>
                <w:sz w:val="22"/>
                <w:szCs w:val="22"/>
              </w:rPr>
              <w:t xml:space="preserve"> </w:t>
            </w:r>
            <w:r w:rsidRPr="007173C1">
              <w:rPr>
                <w:sz w:val="22"/>
                <w:szCs w:val="22"/>
              </w:rPr>
              <w:t>[25].</w:t>
            </w:r>
          </w:p>
          <w:p w:rsidR="00015189" w:rsidRPr="007173C1" w:rsidRDefault="00015189" w:rsidP="007173C1">
            <w:pPr>
              <w:tabs>
                <w:tab w:val="left" w:pos="360"/>
              </w:tabs>
              <w:spacing w:before="0" w:line="240" w:lineRule="auto"/>
              <w:rPr>
                <w:sz w:val="22"/>
                <w:szCs w:val="22"/>
              </w:rPr>
            </w:pPr>
            <w:r w:rsidRPr="007173C1">
              <w:rPr>
                <w:sz w:val="22"/>
                <w:szCs w:val="22"/>
              </w:rPr>
              <w:t>Crane et al. (2012) found mean scores were lower for 225 subjects with NC (mean=7.9, SD=3.5) than for 394 subjects with MCI (mean=15.9, SD=5.1) and 184 subject</w:t>
            </w:r>
            <w:r w:rsidR="00FE7824" w:rsidRPr="007173C1">
              <w:rPr>
                <w:sz w:val="22"/>
                <w:szCs w:val="22"/>
              </w:rPr>
              <w:t>s with AD (mean=24.2, SD=5.6)</w:t>
            </w:r>
            <w:r w:rsidR="00D06985">
              <w:rPr>
                <w:sz w:val="22"/>
                <w:szCs w:val="22"/>
              </w:rPr>
              <w:t xml:space="preserve"> </w:t>
            </w:r>
            <w:r w:rsidR="00FE7824" w:rsidRPr="007173C1">
              <w:rPr>
                <w:sz w:val="22"/>
                <w:szCs w:val="22"/>
              </w:rPr>
              <w:t>[35</w:t>
            </w:r>
            <w:r w:rsidRPr="007173C1">
              <w:rPr>
                <w:sz w:val="22"/>
                <w:szCs w:val="22"/>
              </w:rPr>
              <w:t>].</w:t>
            </w:r>
          </w:p>
        </w:tc>
        <w:tc>
          <w:tcPr>
            <w:tcW w:w="3870" w:type="dxa"/>
          </w:tcPr>
          <w:p w:rsidR="00015189" w:rsidRPr="007173C1" w:rsidRDefault="00015189" w:rsidP="007173C1">
            <w:pPr>
              <w:tabs>
                <w:tab w:val="left" w:pos="360"/>
              </w:tabs>
              <w:spacing w:before="0" w:line="240" w:lineRule="auto"/>
              <w:rPr>
                <w:sz w:val="22"/>
                <w:szCs w:val="22"/>
                <w:vertAlign w:val="superscript"/>
              </w:rPr>
            </w:pPr>
            <w:r w:rsidRPr="007173C1">
              <w:rPr>
                <w:sz w:val="22"/>
                <w:szCs w:val="22"/>
              </w:rPr>
              <w:t>For 394 subjects with MCI the ADAS-Tree had a larger Z-score for time (Z=12.04) than the ADAS-Cog 11 (Z=9.44), adjusted for age, education, gender, and APOE</w:t>
            </w:r>
            <w:r w:rsidR="00A92CD6">
              <w:rPr>
                <w:sz w:val="22"/>
                <w:szCs w:val="22"/>
              </w:rPr>
              <w:t xml:space="preserve"> </w:t>
            </w:r>
            <w:r w:rsidR="00A92CD6">
              <w:rPr>
                <w:color w:val="000000"/>
                <w:szCs w:val="24"/>
              </w:rPr>
              <w:sym w:font="Symbol" w:char="F065"/>
            </w:r>
            <w:r w:rsidRPr="007173C1">
              <w:rPr>
                <w:sz w:val="22"/>
                <w:szCs w:val="22"/>
              </w:rPr>
              <w:t>4 allele [25].</w:t>
            </w:r>
          </w:p>
          <w:p w:rsidR="00015189" w:rsidRPr="007173C1" w:rsidRDefault="00015189" w:rsidP="007173C1">
            <w:pPr>
              <w:tabs>
                <w:tab w:val="left" w:pos="360"/>
              </w:tabs>
              <w:spacing w:before="0" w:line="240" w:lineRule="auto"/>
              <w:rPr>
                <w:sz w:val="22"/>
                <w:szCs w:val="22"/>
              </w:rPr>
            </w:pPr>
            <w:r w:rsidRPr="007173C1">
              <w:rPr>
                <w:sz w:val="22"/>
                <w:szCs w:val="22"/>
              </w:rPr>
              <w:t xml:space="preserve">Similar analyses in a separate study the ADAS-Tree also had a larger adjusted Z-score for time than the ADAS-Cog 11 in MCI (ADAS-Tree: Z=-13.67, ADAS-Cog 11: Z=-10.78) and AD (ADAS-Tree: Z=-14.05, ADAS-Cog 11: Z=-12.25), but not NC (ADAS-Tree: Z=0.73, </w:t>
            </w:r>
            <w:r w:rsidR="00FE7824" w:rsidRPr="007173C1">
              <w:rPr>
                <w:sz w:val="22"/>
                <w:szCs w:val="22"/>
              </w:rPr>
              <w:t>ADAS-Cog 11: Z=3.20) samples [35</w:t>
            </w:r>
            <w:r w:rsidRPr="007173C1">
              <w:rPr>
                <w:sz w:val="22"/>
                <w:szCs w:val="22"/>
              </w:rPr>
              <w:t>].</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The estimated sample size per group to detect a 25% decrease over 12 months in MCI with 80% power and an alpha of 0.05 was smaller for the ADAS-Tree (n=733) than for the ADAS-Cog 11 (n=1230)</w:t>
            </w:r>
            <w:r w:rsidR="00D06985">
              <w:rPr>
                <w:sz w:val="22"/>
                <w:szCs w:val="22"/>
              </w:rPr>
              <w:t xml:space="preserve"> </w:t>
            </w:r>
            <w:r w:rsidRPr="007173C1">
              <w:rPr>
                <w:sz w:val="22"/>
                <w:szCs w:val="22"/>
              </w:rPr>
              <w:t>[25].</w:t>
            </w:r>
          </w:p>
          <w:p w:rsidR="00015189" w:rsidRPr="007173C1" w:rsidRDefault="00015189" w:rsidP="007173C1">
            <w:pPr>
              <w:tabs>
                <w:tab w:val="left" w:pos="360"/>
              </w:tabs>
              <w:spacing w:before="0" w:line="240" w:lineRule="auto"/>
              <w:rPr>
                <w:sz w:val="22"/>
                <w:szCs w:val="22"/>
              </w:rPr>
            </w:pPr>
            <w:r w:rsidRPr="007173C1">
              <w:rPr>
                <w:sz w:val="22"/>
                <w:szCs w:val="22"/>
              </w:rPr>
              <w:t xml:space="preserve">In a separate study the ADAS-Tree required a larger estimated sample size than the ADAS-Cog 11 to detect a 25% decrease over 12 months, with 80% power and an alpha of 0.05, for subjects with NC (573,996 versus 37,971), and a smaller estimated sample size than the ADAS-Cog 11 for subjects with MCI (981 versus 1651) or AD (214 versus 242) </w:t>
            </w:r>
            <w:r w:rsidR="00FE7824" w:rsidRPr="007173C1">
              <w:rPr>
                <w:sz w:val="22"/>
                <w:szCs w:val="22"/>
              </w:rPr>
              <w:t>hypothetical clinical trials [35</w:t>
            </w:r>
            <w:r w:rsidRPr="007173C1">
              <w:rPr>
                <w:sz w:val="22"/>
                <w:szCs w:val="22"/>
              </w:rPr>
              <w:t>].</w:t>
            </w:r>
          </w:p>
          <w:p w:rsidR="00015189" w:rsidRPr="007173C1" w:rsidRDefault="00015189" w:rsidP="007173C1">
            <w:pPr>
              <w:tabs>
                <w:tab w:val="left" w:pos="360"/>
              </w:tabs>
              <w:spacing w:before="0" w:line="240" w:lineRule="auto"/>
              <w:rPr>
                <w:sz w:val="22"/>
                <w:szCs w:val="22"/>
                <w:vertAlign w:val="superscript"/>
              </w:rPr>
            </w:pPr>
          </w:p>
        </w:tc>
      </w:tr>
      <w:tr w:rsidR="00015189" w:rsidRPr="007173C1" w:rsidTr="0041797A">
        <w:tc>
          <w:tcPr>
            <w:tcW w:w="1413" w:type="dxa"/>
          </w:tcPr>
          <w:p w:rsidR="00015189" w:rsidRPr="007173C1" w:rsidRDefault="0041797A" w:rsidP="007173C1">
            <w:pPr>
              <w:tabs>
                <w:tab w:val="left" w:pos="360"/>
              </w:tabs>
              <w:spacing w:before="0" w:line="240" w:lineRule="auto"/>
              <w:rPr>
                <w:b/>
                <w:sz w:val="22"/>
                <w:szCs w:val="22"/>
              </w:rPr>
            </w:pPr>
            <w:proofErr w:type="spellStart"/>
            <w:r w:rsidRPr="007173C1">
              <w:rPr>
                <w:b/>
                <w:sz w:val="22"/>
                <w:szCs w:val="22"/>
              </w:rPr>
              <w:t>cADAS</w:t>
            </w:r>
            <w:proofErr w:type="spellEnd"/>
            <w:r w:rsidRPr="007173C1">
              <w:rPr>
                <w:b/>
                <w:sz w:val="22"/>
                <w:szCs w:val="22"/>
              </w:rPr>
              <w:t>-Cog [94</w:t>
            </w:r>
            <w:r w:rsidR="00015189"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316B40" w:rsidP="007173C1">
            <w:pPr>
              <w:tabs>
                <w:tab w:val="left" w:pos="360"/>
              </w:tabs>
              <w:spacing w:before="0" w:line="240" w:lineRule="auto"/>
              <w:rPr>
                <w:b/>
                <w:sz w:val="22"/>
                <w:szCs w:val="22"/>
              </w:rPr>
            </w:pPr>
            <w:r w:rsidRPr="007173C1">
              <w:rPr>
                <w:b/>
                <w:sz w:val="22"/>
                <w:szCs w:val="22"/>
              </w:rPr>
              <w:t>TDA</w:t>
            </w:r>
            <w:r w:rsidR="0041797A" w:rsidRPr="007173C1">
              <w:rPr>
                <w:b/>
                <w:sz w:val="22"/>
                <w:szCs w:val="22"/>
              </w:rPr>
              <w:t>S [96</w:t>
            </w:r>
            <w:r w:rsidR="00015189"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316B40" w:rsidP="007173C1">
            <w:pPr>
              <w:tabs>
                <w:tab w:val="left" w:pos="360"/>
              </w:tabs>
              <w:spacing w:before="0" w:line="240" w:lineRule="auto"/>
              <w:rPr>
                <w:b/>
                <w:sz w:val="22"/>
                <w:szCs w:val="22"/>
              </w:rPr>
            </w:pPr>
            <w:r w:rsidRPr="007173C1">
              <w:rPr>
                <w:b/>
                <w:sz w:val="22"/>
                <w:szCs w:val="22"/>
              </w:rPr>
              <w:t>CAMCOG-Plus [9</w:t>
            </w:r>
            <w:r w:rsidR="00015189" w:rsidRPr="007173C1">
              <w:rPr>
                <w:b/>
                <w:sz w:val="22"/>
                <w:szCs w:val="22"/>
              </w:rPr>
              <w:t xml:space="preserve">7]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rPr>
            </w:pPr>
            <w:r w:rsidRPr="007173C1">
              <w:rPr>
                <w:b/>
                <w:sz w:val="22"/>
                <w:szCs w:val="22"/>
              </w:rPr>
              <w:t>ADAS-Cog -</w:t>
            </w:r>
            <w:r w:rsidRPr="007173C1">
              <w:rPr>
                <w:b/>
                <w:sz w:val="22"/>
                <w:szCs w:val="22"/>
              </w:rPr>
              <w:lastRenderedPageBreak/>
              <w:t xml:space="preserve">5 </w:t>
            </w:r>
            <w:r w:rsidR="0041797A" w:rsidRPr="007173C1">
              <w:rPr>
                <w:b/>
                <w:sz w:val="22"/>
                <w:szCs w:val="22"/>
              </w:rPr>
              <w:t>Subset [87</w:t>
            </w:r>
            <w:r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The ADAS-Cog-5-Subset found </w:t>
            </w:r>
            <w:r w:rsidRPr="007173C1">
              <w:rPr>
                <w:sz w:val="22"/>
                <w:szCs w:val="22"/>
              </w:rPr>
              <w:lastRenderedPageBreak/>
              <w:t>statistically significant differences in the proportion of responders in the treatment compared to control groups for the overall study population (</w:t>
            </w:r>
            <w:r w:rsidR="007173C1">
              <w:rPr>
                <w:sz w:val="22"/>
                <w:szCs w:val="22"/>
              </w:rPr>
              <w:t>p</w:t>
            </w:r>
            <w:r w:rsidRPr="007173C1">
              <w:rPr>
                <w:sz w:val="22"/>
                <w:szCs w:val="22"/>
              </w:rPr>
              <w:t>=0.0001), as well as subgroups of subjects with mild AD (</w:t>
            </w:r>
            <w:r w:rsidR="007173C1">
              <w:rPr>
                <w:sz w:val="22"/>
                <w:szCs w:val="22"/>
              </w:rPr>
              <w:t>p</w:t>
            </w:r>
            <w:r w:rsidRPr="007173C1">
              <w:rPr>
                <w:sz w:val="22"/>
                <w:szCs w:val="22"/>
              </w:rPr>
              <w:t>=0.01), and moderate AD (</w:t>
            </w:r>
            <w:r w:rsidR="007173C1">
              <w:rPr>
                <w:sz w:val="22"/>
                <w:szCs w:val="22"/>
              </w:rPr>
              <w:t>p</w:t>
            </w:r>
            <w:r w:rsidR="0041797A" w:rsidRPr="007173C1">
              <w:rPr>
                <w:sz w:val="22"/>
                <w:szCs w:val="22"/>
              </w:rPr>
              <w:t>=0.01)</w:t>
            </w:r>
            <w:r w:rsidR="00D06985">
              <w:rPr>
                <w:sz w:val="22"/>
                <w:szCs w:val="22"/>
              </w:rPr>
              <w:t xml:space="preserve"> </w:t>
            </w:r>
            <w:r w:rsidR="0041797A" w:rsidRPr="007173C1">
              <w:rPr>
                <w:sz w:val="22"/>
                <w:szCs w:val="22"/>
              </w:rPr>
              <w:t>[87</w:t>
            </w:r>
            <w:r w:rsidRPr="007173C1">
              <w:rPr>
                <w:sz w:val="22"/>
                <w:szCs w:val="22"/>
              </w:rPr>
              <w:t xml:space="preserve">]. The ADAS-Cog 11 found no statistically significant difference between the </w:t>
            </w:r>
            <w:proofErr w:type="gramStart"/>
            <w:r w:rsidRPr="007173C1">
              <w:rPr>
                <w:sz w:val="22"/>
                <w:szCs w:val="22"/>
              </w:rPr>
              <w:t>proportion</w:t>
            </w:r>
            <w:proofErr w:type="gramEnd"/>
            <w:r w:rsidRPr="007173C1">
              <w:rPr>
                <w:sz w:val="22"/>
                <w:szCs w:val="22"/>
              </w:rPr>
              <w:t xml:space="preserve"> of responders in the t</w:t>
            </w:r>
            <w:r w:rsidR="0041797A" w:rsidRPr="007173C1">
              <w:rPr>
                <w:sz w:val="22"/>
                <w:szCs w:val="22"/>
              </w:rPr>
              <w:t>reatment versus control group [87</w:t>
            </w:r>
            <w:r w:rsidRPr="007173C1">
              <w:rPr>
                <w:sz w:val="22"/>
                <w:szCs w:val="22"/>
              </w:rPr>
              <w:t>].</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rPr>
            </w:pPr>
            <w:r w:rsidRPr="007173C1">
              <w:rPr>
                <w:b/>
                <w:sz w:val="22"/>
                <w:szCs w:val="22"/>
              </w:rPr>
              <w:lastRenderedPageBreak/>
              <w:t>ADAS-Cog</w:t>
            </w:r>
            <w:r w:rsidR="0041797A" w:rsidRPr="007173C1">
              <w:rPr>
                <w:b/>
                <w:sz w:val="22"/>
                <w:szCs w:val="22"/>
              </w:rPr>
              <w:t>-6 Subset [87</w:t>
            </w:r>
            <w:r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The ADAS-Cog-6-Subset found statistically significant treatment effects for the overall study population (</w:t>
            </w:r>
            <w:r w:rsidR="007173C1">
              <w:rPr>
                <w:sz w:val="22"/>
                <w:szCs w:val="22"/>
              </w:rPr>
              <w:t>p</w:t>
            </w:r>
            <w:r w:rsidRPr="007173C1">
              <w:rPr>
                <w:sz w:val="22"/>
                <w:szCs w:val="22"/>
              </w:rPr>
              <w:t>=0.0016) and the moderate AD subgroup (</w:t>
            </w:r>
            <w:r w:rsidR="007173C1">
              <w:rPr>
                <w:sz w:val="22"/>
                <w:szCs w:val="22"/>
              </w:rPr>
              <w:t>p</w:t>
            </w:r>
            <w:r w:rsidRPr="007173C1">
              <w:rPr>
                <w:sz w:val="22"/>
                <w:szCs w:val="22"/>
              </w:rPr>
              <w:t>=0.0002), but not among the subgroup of mild AD subjects (</w:t>
            </w:r>
            <w:r w:rsidR="007173C1">
              <w:rPr>
                <w:sz w:val="22"/>
                <w:szCs w:val="22"/>
              </w:rPr>
              <w:t>p</w:t>
            </w:r>
            <w:r w:rsidR="0041797A" w:rsidRPr="007173C1">
              <w:rPr>
                <w:sz w:val="22"/>
                <w:szCs w:val="22"/>
              </w:rPr>
              <w:t>=0.53)</w:t>
            </w:r>
            <w:r w:rsidR="00D06985">
              <w:rPr>
                <w:sz w:val="22"/>
                <w:szCs w:val="22"/>
              </w:rPr>
              <w:t xml:space="preserve"> </w:t>
            </w:r>
            <w:r w:rsidR="0041797A" w:rsidRPr="007173C1">
              <w:rPr>
                <w:sz w:val="22"/>
                <w:szCs w:val="22"/>
              </w:rPr>
              <w:t>[87</w:t>
            </w:r>
            <w:r w:rsidRPr="007173C1">
              <w:rPr>
                <w:sz w:val="22"/>
                <w:szCs w:val="22"/>
              </w:rPr>
              <w:t xml:space="preserve">]. The ADAS-Cog 11 found no statistically significant difference between the </w:t>
            </w:r>
            <w:proofErr w:type="gramStart"/>
            <w:r w:rsidRPr="007173C1">
              <w:rPr>
                <w:sz w:val="22"/>
                <w:szCs w:val="22"/>
              </w:rPr>
              <w:t>proportion</w:t>
            </w:r>
            <w:proofErr w:type="gramEnd"/>
            <w:r w:rsidRPr="007173C1">
              <w:rPr>
                <w:sz w:val="22"/>
                <w:szCs w:val="22"/>
              </w:rPr>
              <w:t xml:space="preserve"> of responders in the t</w:t>
            </w:r>
            <w:r w:rsidR="0041797A" w:rsidRPr="007173C1">
              <w:rPr>
                <w:sz w:val="22"/>
                <w:szCs w:val="22"/>
              </w:rPr>
              <w:t>reatment versus control group [87</w:t>
            </w:r>
            <w:r w:rsidRPr="007173C1">
              <w:rPr>
                <w:sz w:val="22"/>
                <w:szCs w:val="22"/>
              </w:rPr>
              <w:t>].</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ADAS-</w:t>
            </w:r>
            <w:proofErr w:type="spellStart"/>
            <w:r w:rsidRPr="007173C1">
              <w:rPr>
                <w:b/>
                <w:sz w:val="22"/>
                <w:szCs w:val="22"/>
              </w:rPr>
              <w:t>bifactor</w:t>
            </w:r>
            <w:proofErr w:type="spellEnd"/>
            <w:r w:rsidRPr="007173C1">
              <w:rPr>
                <w:b/>
                <w:sz w:val="22"/>
                <w:szCs w:val="22"/>
              </w:rPr>
              <w:t xml:space="preserve"> [25]</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Z-score for change over time adjusting for age, education, gender, and APOE</w:t>
            </w:r>
            <w:r w:rsidR="00A92CD6">
              <w:rPr>
                <w:sz w:val="22"/>
                <w:szCs w:val="22"/>
              </w:rPr>
              <w:t xml:space="preserve"> </w:t>
            </w:r>
            <w:r w:rsidR="00A92CD6">
              <w:rPr>
                <w:color w:val="000000"/>
                <w:szCs w:val="24"/>
              </w:rPr>
              <w:sym w:font="Symbol" w:char="F065"/>
            </w:r>
            <w:r w:rsidRPr="007173C1">
              <w:rPr>
                <w:sz w:val="22"/>
                <w:szCs w:val="22"/>
              </w:rPr>
              <w:t>4 allele status was larger for the ADAS-</w:t>
            </w:r>
            <w:proofErr w:type="spellStart"/>
            <w:r w:rsidRPr="007173C1">
              <w:rPr>
                <w:sz w:val="22"/>
                <w:szCs w:val="22"/>
              </w:rPr>
              <w:t>bifactor</w:t>
            </w:r>
            <w:proofErr w:type="spellEnd"/>
            <w:r w:rsidRPr="007173C1">
              <w:rPr>
                <w:sz w:val="22"/>
                <w:szCs w:val="22"/>
              </w:rPr>
              <w:t xml:space="preserve"> (Z=10.26) than for the ADAS-Cog-11 (Z=9.44) [25].</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Estimated sample sizes to detect a 25% change in cognition over 12 months with 80% power and alpha of 0.05 were calculated [25]. The ADAS-Plus-EF&amp;FA required a smaller sample size (n=547) than the ADAS-Plus EF (n=883), ADAS-</w:t>
            </w:r>
            <w:proofErr w:type="spellStart"/>
            <w:r w:rsidRPr="007173C1">
              <w:rPr>
                <w:sz w:val="22"/>
                <w:szCs w:val="22"/>
              </w:rPr>
              <w:t>Bifactor</w:t>
            </w:r>
            <w:proofErr w:type="spellEnd"/>
            <w:r w:rsidRPr="007173C1">
              <w:rPr>
                <w:sz w:val="22"/>
                <w:szCs w:val="22"/>
              </w:rPr>
              <w:t xml:space="preserve"> (n=1103), and ADAS-Cog 11 (n=1230) [25].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ADAS-Cog-Plus-EF [25]</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Z-score for change over time adjusting for age, education, gender, and APOE</w:t>
            </w:r>
            <w:r w:rsidR="00A92CD6">
              <w:rPr>
                <w:sz w:val="22"/>
                <w:szCs w:val="22"/>
              </w:rPr>
              <w:t xml:space="preserve"> </w:t>
            </w:r>
            <w:r w:rsidR="00A92CD6">
              <w:rPr>
                <w:color w:val="000000"/>
                <w:szCs w:val="24"/>
              </w:rPr>
              <w:sym w:font="Symbol" w:char="F065"/>
            </w:r>
            <w:r w:rsidRPr="007173C1">
              <w:rPr>
                <w:sz w:val="22"/>
                <w:szCs w:val="22"/>
              </w:rPr>
              <w:t>4 allele status was larger for the ADAS-Cog-Plus-EF (Z=10.61) than for the ADAS-Cog-11 (Z=9.44) [25].</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Estimated sample sizes to detect a 25% change in cognition over 12 months with 80% power and alpha of 0.05 were calculated [25]. The ADAS-Plus-EF&amp;FA required a smaller sample size (n=547) than the ADAS-Plus EF </w:t>
            </w:r>
            <w:r w:rsidRPr="007173C1">
              <w:rPr>
                <w:sz w:val="22"/>
                <w:szCs w:val="22"/>
              </w:rPr>
              <w:lastRenderedPageBreak/>
              <w:t>(n=883), ADAS-</w:t>
            </w:r>
            <w:proofErr w:type="spellStart"/>
            <w:r w:rsidRPr="007173C1">
              <w:rPr>
                <w:sz w:val="22"/>
                <w:szCs w:val="22"/>
              </w:rPr>
              <w:t>Bifactor</w:t>
            </w:r>
            <w:proofErr w:type="spellEnd"/>
            <w:r w:rsidRPr="007173C1">
              <w:rPr>
                <w:sz w:val="22"/>
                <w:szCs w:val="22"/>
              </w:rPr>
              <w:t xml:space="preserve"> (n=1103), and ADAS-Cog 11 (n=1230)</w:t>
            </w:r>
            <w:r w:rsidR="00D06985">
              <w:rPr>
                <w:sz w:val="22"/>
                <w:szCs w:val="22"/>
              </w:rPr>
              <w:t xml:space="preserve"> </w:t>
            </w:r>
            <w:r w:rsidRPr="007173C1">
              <w:rPr>
                <w:sz w:val="22"/>
                <w:szCs w:val="22"/>
              </w:rPr>
              <w:t>[25].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lastRenderedPageBreak/>
              <w:t xml:space="preserve">ADAS-Plus-EF&amp;FA </w:t>
            </w:r>
            <w:proofErr w:type="spellStart"/>
            <w:r w:rsidRPr="007173C1">
              <w:rPr>
                <w:b/>
                <w:sz w:val="22"/>
                <w:szCs w:val="22"/>
              </w:rPr>
              <w:t>bifactor</w:t>
            </w:r>
            <w:proofErr w:type="spellEnd"/>
            <w:r w:rsidRPr="007173C1">
              <w:rPr>
                <w:b/>
                <w:sz w:val="22"/>
                <w:szCs w:val="22"/>
              </w:rPr>
              <w:t xml:space="preserve"> model</w:t>
            </w:r>
            <w:r w:rsidR="0041797A" w:rsidRPr="007173C1">
              <w:rPr>
                <w:b/>
                <w:sz w:val="22"/>
                <w:szCs w:val="22"/>
              </w:rPr>
              <w:t xml:space="preserve"> </w:t>
            </w:r>
            <w:r w:rsidRPr="007173C1">
              <w:rPr>
                <w:b/>
                <w:sz w:val="22"/>
                <w:szCs w:val="22"/>
              </w:rPr>
              <w:t>[25]</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Z-score for change over time adjusting for age, education, gender, and APOE</w:t>
            </w:r>
            <w:r w:rsidR="00A92CD6">
              <w:rPr>
                <w:sz w:val="22"/>
                <w:szCs w:val="22"/>
              </w:rPr>
              <w:t xml:space="preserve"> </w:t>
            </w:r>
            <w:r w:rsidR="00A92CD6">
              <w:rPr>
                <w:color w:val="000000"/>
                <w:szCs w:val="24"/>
              </w:rPr>
              <w:sym w:font="Symbol" w:char="F065"/>
            </w:r>
            <w:r w:rsidRPr="007173C1">
              <w:rPr>
                <w:sz w:val="22"/>
                <w:szCs w:val="22"/>
              </w:rPr>
              <w:t>4 allele status was larger for the ADAS-Cog-Plus-EF&amp;FA (Z=11.81) than for the ADAS-Cog-11 (Z=9.44)</w:t>
            </w:r>
            <w:r w:rsidR="00D06985">
              <w:rPr>
                <w:sz w:val="22"/>
                <w:szCs w:val="22"/>
              </w:rPr>
              <w:t xml:space="preserve"> </w:t>
            </w:r>
            <w:r w:rsidRPr="007173C1">
              <w:rPr>
                <w:sz w:val="22"/>
                <w:szCs w:val="22"/>
              </w:rPr>
              <w:t>[25].</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Estimated sample sizes to detect a 25% change in cognition over 12 months with 80% power and alpha of 0.05 were calculated [25]. The ADAS-Plus-EF&amp;FA required a smaller sample size (n=547) than the ADAS-Plus EF (n=883), ADAS-</w:t>
            </w:r>
            <w:proofErr w:type="spellStart"/>
            <w:r w:rsidRPr="007173C1">
              <w:rPr>
                <w:sz w:val="22"/>
                <w:szCs w:val="22"/>
              </w:rPr>
              <w:t>Bifactor</w:t>
            </w:r>
            <w:proofErr w:type="spellEnd"/>
            <w:r w:rsidRPr="007173C1">
              <w:rPr>
                <w:sz w:val="22"/>
                <w:szCs w:val="22"/>
              </w:rPr>
              <w:t xml:space="preserve"> (n=1103), and ADAS-Cog 11 (n=1230) [25].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Common Item Pooling [20]</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 xml:space="preserve">ADNI </w:t>
            </w:r>
            <w:r w:rsidR="00316B40" w:rsidRPr="007173C1">
              <w:rPr>
                <w:b/>
                <w:sz w:val="22"/>
                <w:szCs w:val="22"/>
              </w:rPr>
              <w:t>Memory Composite [35</w:t>
            </w:r>
            <w:r w:rsidRPr="007173C1">
              <w:rPr>
                <w:b/>
                <w:sz w:val="22"/>
                <w:szCs w:val="22"/>
              </w:rPr>
              <w:t>]</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Scores were higher for subjects with NC (mean=1.0 points, SD=0.5) than subjects with MCI (mean=-0.1 points, SD=0.6) and subjects with </w:t>
            </w:r>
            <w:r w:rsidR="00FE7824" w:rsidRPr="007173C1">
              <w:rPr>
                <w:sz w:val="22"/>
                <w:szCs w:val="22"/>
              </w:rPr>
              <w:t>AD (mean=-0.8 points, SD=0.5)</w:t>
            </w:r>
            <w:r w:rsidR="00D06985">
              <w:rPr>
                <w:sz w:val="22"/>
                <w:szCs w:val="22"/>
              </w:rPr>
              <w:t xml:space="preserve"> </w:t>
            </w:r>
            <w:r w:rsidR="00FE7824" w:rsidRPr="007173C1">
              <w:rPr>
                <w:sz w:val="22"/>
                <w:szCs w:val="22"/>
              </w:rPr>
              <w:t>[35</w:t>
            </w:r>
            <w:r w:rsidRPr="007173C1">
              <w:rPr>
                <w:sz w:val="22"/>
                <w:szCs w:val="22"/>
              </w:rPr>
              <w:t xml:space="preserve">]. </w:t>
            </w: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Standardized regression coefficients for time, controlling for age, education, and sex, and presence of at least one APOE</w:t>
            </w:r>
            <w:r w:rsidR="00A92CD6">
              <w:rPr>
                <w:sz w:val="22"/>
                <w:szCs w:val="22"/>
              </w:rPr>
              <w:t xml:space="preserve"> </w:t>
            </w:r>
            <w:r w:rsidR="00A92CD6">
              <w:rPr>
                <w:color w:val="000000"/>
                <w:szCs w:val="24"/>
              </w:rPr>
              <w:sym w:font="Symbol" w:char="F065"/>
            </w:r>
            <w:r w:rsidRPr="007173C1">
              <w:rPr>
                <w:sz w:val="22"/>
                <w:szCs w:val="22"/>
              </w:rPr>
              <w:t xml:space="preserve">4 allele were statistically significant for the ADNI Memory Composite in NC (3.02), MCI (-9.43), and AD (-11.59) subgroups (all </w:t>
            </w:r>
            <w:r w:rsidR="007173C1">
              <w:rPr>
                <w:sz w:val="22"/>
                <w:szCs w:val="22"/>
              </w:rPr>
              <w:t>p</w:t>
            </w:r>
            <w:r w:rsidR="00FE7824" w:rsidRPr="007173C1">
              <w:rPr>
                <w:sz w:val="22"/>
                <w:szCs w:val="22"/>
              </w:rPr>
              <w:t>&lt;0.05)</w:t>
            </w:r>
            <w:r w:rsidR="00D06985">
              <w:rPr>
                <w:sz w:val="22"/>
                <w:szCs w:val="22"/>
              </w:rPr>
              <w:t xml:space="preserve"> </w:t>
            </w:r>
            <w:r w:rsidR="00FE7824" w:rsidRPr="007173C1">
              <w:rPr>
                <w:sz w:val="22"/>
                <w:szCs w:val="22"/>
              </w:rPr>
              <w:t>[35</w:t>
            </w:r>
            <w:r w:rsidRPr="007173C1">
              <w:rPr>
                <w:sz w:val="22"/>
                <w:szCs w:val="22"/>
              </w:rPr>
              <w:t xml:space="preserve">]. In comparison, coefficients for the ADAS-Cog 11 were larger in the NC (3.20), MCI (-10.78), and AD (-12.25) subgroups (all </w:t>
            </w:r>
            <w:r w:rsidR="007173C1">
              <w:rPr>
                <w:sz w:val="22"/>
                <w:szCs w:val="22"/>
              </w:rPr>
              <w:t>p</w:t>
            </w:r>
            <w:r w:rsidR="00FE7824" w:rsidRPr="007173C1">
              <w:rPr>
                <w:sz w:val="22"/>
                <w:szCs w:val="22"/>
              </w:rPr>
              <w:t>&lt;0.05)</w:t>
            </w:r>
            <w:r w:rsidR="00D06985">
              <w:rPr>
                <w:sz w:val="22"/>
                <w:szCs w:val="22"/>
              </w:rPr>
              <w:t xml:space="preserve"> </w:t>
            </w:r>
            <w:r w:rsidR="00FE7824" w:rsidRPr="007173C1">
              <w:rPr>
                <w:sz w:val="22"/>
                <w:szCs w:val="22"/>
              </w:rPr>
              <w:t>[35</w:t>
            </w:r>
            <w:r w:rsidRPr="007173C1">
              <w:rPr>
                <w:sz w:val="22"/>
                <w:szCs w:val="22"/>
              </w:rPr>
              <w:t xml:space="preserve">]. </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Standardized coefficients and adjusted SD were used to estimate the sample size needed to detect a 25% reduction in rate of cognitive decline over 12 months with 80% power in a hypothe</w:t>
            </w:r>
            <w:r w:rsidR="00FE7824" w:rsidRPr="007173C1">
              <w:rPr>
                <w:sz w:val="22"/>
                <w:szCs w:val="22"/>
              </w:rPr>
              <w:t>tical two-arm clinical trial [35</w:t>
            </w:r>
            <w:r w:rsidRPr="007173C1">
              <w:rPr>
                <w:sz w:val="22"/>
                <w:szCs w:val="22"/>
              </w:rPr>
              <w:t>]. The ADNI Memory Composite required a smaller sample size than the ADAS-Cog 11 for a hypothetical trial of NC (28,512 versus 37,971), but required a larger sample size than the ADAS-Cog 11 for MCI (2,167 versus 1,651) a</w:t>
            </w:r>
            <w:r w:rsidR="00FE7824" w:rsidRPr="007173C1">
              <w:rPr>
                <w:sz w:val="22"/>
                <w:szCs w:val="22"/>
              </w:rPr>
              <w:t>nd AD trials (568 versus 242)</w:t>
            </w:r>
            <w:r w:rsidR="00D06985">
              <w:rPr>
                <w:sz w:val="22"/>
                <w:szCs w:val="22"/>
              </w:rPr>
              <w:t xml:space="preserve"> </w:t>
            </w:r>
            <w:r w:rsidR="00FE7824" w:rsidRPr="007173C1">
              <w:rPr>
                <w:sz w:val="22"/>
                <w:szCs w:val="22"/>
              </w:rPr>
              <w:t>[35</w:t>
            </w:r>
            <w:r w:rsidRPr="007173C1">
              <w:rPr>
                <w:sz w:val="22"/>
                <w:szCs w:val="22"/>
              </w:rPr>
              <w:t>].</w:t>
            </w:r>
            <w:r w:rsidRPr="007173C1" w:rsidDel="00D2486F">
              <w:rPr>
                <w:sz w:val="22"/>
                <w:szCs w:val="22"/>
              </w:rPr>
              <w:t xml:space="preserve"> </w:t>
            </w:r>
          </w:p>
        </w:tc>
      </w:tr>
      <w:tr w:rsidR="00015189" w:rsidRPr="007173C1" w:rsidTr="0041797A">
        <w:trPr>
          <w:trHeight w:val="89"/>
        </w:trPr>
        <w:tc>
          <w:tcPr>
            <w:tcW w:w="1413" w:type="dxa"/>
          </w:tcPr>
          <w:p w:rsidR="00015189" w:rsidRPr="007173C1" w:rsidRDefault="0041797A" w:rsidP="007173C1">
            <w:pPr>
              <w:tabs>
                <w:tab w:val="left" w:pos="360"/>
              </w:tabs>
              <w:spacing w:before="0" w:line="240" w:lineRule="auto"/>
              <w:rPr>
                <w:b/>
                <w:sz w:val="22"/>
                <w:szCs w:val="22"/>
              </w:rPr>
            </w:pPr>
            <w:r w:rsidRPr="007173C1">
              <w:rPr>
                <w:b/>
                <w:sz w:val="22"/>
                <w:szCs w:val="22"/>
              </w:rPr>
              <w:t>ADAS-Cog IRT [88,89</w:t>
            </w:r>
            <w:r w:rsidR="00015189" w:rsidRPr="007173C1">
              <w:rPr>
                <w:b/>
                <w:sz w:val="22"/>
                <w:szCs w:val="22"/>
              </w:rPr>
              <w:t>]</w:t>
            </w:r>
          </w:p>
          <w:p w:rsidR="00015189" w:rsidRPr="007173C1" w:rsidRDefault="00015189" w:rsidP="007173C1">
            <w:pPr>
              <w:tabs>
                <w:tab w:val="left" w:pos="360"/>
              </w:tabs>
              <w:spacing w:before="0" w:line="240" w:lineRule="auto"/>
              <w:rPr>
                <w:b/>
                <w:sz w:val="22"/>
                <w:szCs w:val="22"/>
              </w:rPr>
            </w:pP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roofErr w:type="spellStart"/>
            <w:r w:rsidRPr="007173C1">
              <w:rPr>
                <w:sz w:val="22"/>
                <w:szCs w:val="22"/>
              </w:rPr>
              <w:t>Verma</w:t>
            </w:r>
            <w:proofErr w:type="spellEnd"/>
            <w:r w:rsidRPr="007173C1">
              <w:rPr>
                <w:sz w:val="22"/>
                <w:szCs w:val="22"/>
              </w:rPr>
              <w:t xml:space="preserve"> et al. (2015) used clinical trial simulations to compare the ADAS-Cog 11 and ADAS-Cog IRT in terms of the power needed to detect a pre-specified treatment effect for various sample sizes (n=200 to 1,000) over 24 months, and for various lengths of follow-up wit</w:t>
            </w:r>
            <w:r w:rsidR="0041797A" w:rsidRPr="007173C1">
              <w:rPr>
                <w:sz w:val="22"/>
                <w:szCs w:val="22"/>
              </w:rPr>
              <w:t>h the sample size set at 400 [89</w:t>
            </w:r>
            <w:r w:rsidRPr="007173C1">
              <w:rPr>
                <w:sz w:val="22"/>
                <w:szCs w:val="22"/>
              </w:rPr>
              <w:t xml:space="preserve">]. Both ADAS-Cog IRT scoring </w:t>
            </w:r>
            <w:r w:rsidRPr="007173C1">
              <w:rPr>
                <w:sz w:val="22"/>
                <w:szCs w:val="22"/>
              </w:rPr>
              <w:lastRenderedPageBreak/>
              <w:t>methodology and original ADAS-Cog 11 scoring with an Analysis of Covariance test for a treatment effect showed low power (&lt; 80%) for detecting a mild treatment effect regardless of the s</w:t>
            </w:r>
            <w:r w:rsidR="0041797A" w:rsidRPr="007173C1">
              <w:rPr>
                <w:sz w:val="22"/>
                <w:szCs w:val="22"/>
              </w:rPr>
              <w:t>ample size or trial duration [89</w:t>
            </w:r>
            <w:r w:rsidRPr="007173C1">
              <w:rPr>
                <w:sz w:val="22"/>
                <w:szCs w:val="22"/>
              </w:rPr>
              <w:t xml:space="preserve">]. For a moderate treatment effect, ADAS-Cog IRT methodology reached 80% power with a smaller sample size and shorter trial duration compared to </w:t>
            </w:r>
            <w:r w:rsidR="0041797A" w:rsidRPr="007173C1">
              <w:rPr>
                <w:sz w:val="22"/>
                <w:szCs w:val="22"/>
              </w:rPr>
              <w:t>original ADAS-Cog 11 methods [89</w:t>
            </w:r>
            <w:r w:rsidRPr="007173C1">
              <w:rPr>
                <w:sz w:val="22"/>
                <w:szCs w:val="22"/>
              </w:rPr>
              <w:t xml:space="preserve">]. Sensitivity analysis in a real clinical trial was also performed where the ADAS-Cog IRT scoring methodology detected a larger treatment effect than </w:t>
            </w:r>
            <w:r w:rsidR="0041797A" w:rsidRPr="007173C1">
              <w:rPr>
                <w:sz w:val="22"/>
                <w:szCs w:val="22"/>
              </w:rPr>
              <w:t>original ADAS-Cog 11 methods [89</w:t>
            </w:r>
            <w:r w:rsidRPr="007173C1">
              <w:rPr>
                <w:sz w:val="22"/>
                <w:szCs w:val="22"/>
              </w:rPr>
              <w:t>].</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lastRenderedPageBreak/>
              <w:t>ADAS-3</w:t>
            </w:r>
            <w:r w:rsidR="00D727A7" w:rsidRPr="007173C1">
              <w:rPr>
                <w:b/>
                <w:sz w:val="22"/>
                <w:szCs w:val="22"/>
              </w:rPr>
              <w:t>b</w:t>
            </w:r>
            <w:r w:rsidRPr="007173C1">
              <w:rPr>
                <w:b/>
                <w:sz w:val="22"/>
                <w:szCs w:val="22"/>
              </w:rPr>
              <w:t xml:space="preserve"> [15]</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The standardized two-year change of the ADAS-3</w:t>
            </w:r>
            <w:r w:rsidR="00D727A7" w:rsidRPr="007173C1">
              <w:rPr>
                <w:sz w:val="22"/>
                <w:szCs w:val="22"/>
              </w:rPr>
              <w:t>b</w:t>
            </w:r>
            <w:r w:rsidRPr="007173C1">
              <w:rPr>
                <w:sz w:val="22"/>
                <w:szCs w:val="22"/>
              </w:rPr>
              <w:t xml:space="preserve"> was larger than that of the ADAS-Cog 11 and all individual tasks of the ADAS-Cog 11[15].</w:t>
            </w: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CC1</w:t>
            </w:r>
            <w:r w:rsidR="0041797A" w:rsidRPr="007173C1">
              <w:rPr>
                <w:b/>
                <w:sz w:val="22"/>
                <w:szCs w:val="22"/>
              </w:rPr>
              <w:t xml:space="preserve"> </w:t>
            </w:r>
            <w:r w:rsidRPr="007173C1">
              <w:rPr>
                <w:b/>
                <w:sz w:val="22"/>
                <w:szCs w:val="22"/>
              </w:rPr>
              <w:t>[15]</w:t>
            </w:r>
          </w:p>
          <w:p w:rsidR="00015189" w:rsidRPr="007173C1" w:rsidRDefault="00015189" w:rsidP="007173C1">
            <w:pPr>
              <w:tabs>
                <w:tab w:val="left" w:pos="360"/>
              </w:tabs>
              <w:spacing w:before="0" w:line="240" w:lineRule="auto"/>
              <w:rPr>
                <w:b/>
                <w:sz w:val="22"/>
                <w:szCs w:val="22"/>
              </w:rPr>
            </w:pP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Scores for 377 subjects with MCI were worse (mean=0.15 points, SD=1.64) than for 192 subjects with AD (mean=3.15 points, SD=1.68), or 142 subjects with MCI and Aβ pathology (mean=0.49 points, SD=1.55)</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The CC1 demonstrated greater standardized two-year mean change than the ADAS-Cog 11 and all individual items of the ADAS-Cog 11[15].</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The estimated sample size required to detect a hypothetical 25% treatment effect with 80% power in a two-arm clinical trial of subjects with MCI was smaller for the CC2 (n=300) than the CC1 (n=477), the ADAS-Cog 11 (n=772), and the CDR-SB (n=375)</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r w:rsidRPr="007173C1">
              <w:rPr>
                <w:sz w:val="22"/>
                <w:szCs w:val="22"/>
              </w:rPr>
              <w:t>The estimated sample size required to detect a hypothetical 25% treatment effect with 80% power in a two-arm clinical trial of subjects with AD was smaller for the CC2 (n=160) than the CC1 (n=189), the ADAS-Cog 11 (n=256), and the CDR-SB (n=193)</w:t>
            </w:r>
            <w:r w:rsidR="00D06985">
              <w:rPr>
                <w:sz w:val="22"/>
                <w:szCs w:val="22"/>
              </w:rPr>
              <w:t xml:space="preserve"> </w:t>
            </w:r>
            <w:r w:rsidRPr="007173C1">
              <w:rPr>
                <w:sz w:val="22"/>
                <w:szCs w:val="22"/>
              </w:rPr>
              <w:lastRenderedPageBreak/>
              <w:t>[15].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lastRenderedPageBreak/>
              <w:t>CC2 [15]</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Scores for 377 subjects with MCI scored worse (mean=0.07 points, SD=0.94) than for 192 subjects with AD (mean=2.38 points, SD=1.28), or 142 subjects with MCI and Aβ pathology (mean=0.22 points, SD=0.95)</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The CC2 demonstrated greater standardized two-year mean change than the ADAS-Cog 11 and all individual items of the ADAS-Cog 11[15].</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The estimated sample size required to detect a hypothetical 25% treatment effect with 80% power in a two-arm clinical trial of subjects with MCI was smaller for the CC2 (n=300) than the CC1 (n=477), the ADAS-Cog 11 (n=772), and the CDR-SB (n=375)</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r w:rsidRPr="007173C1">
              <w:rPr>
                <w:sz w:val="22"/>
                <w:szCs w:val="22"/>
              </w:rPr>
              <w:t>The estimated sample size required to detect a hypothetical 25% treatment effect with 80% power in a two-arm clinical trial of subjects with AD was smaller for the CC2 (n=160) than the CC1 (n=189), the ADAS-Cog 11 (n=256), and the CDR-SB (n=193)</w:t>
            </w:r>
            <w:r w:rsidR="00D06985">
              <w:rPr>
                <w:sz w:val="22"/>
                <w:szCs w:val="22"/>
              </w:rPr>
              <w:t xml:space="preserve"> </w:t>
            </w:r>
            <w:r w:rsidRPr="007173C1">
              <w:rPr>
                <w:sz w:val="22"/>
                <w:szCs w:val="22"/>
              </w:rPr>
              <w:t>[15].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CFC1[15]</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Scores for 377 subjects with MCI were worse (mean=-0.11 points, SD=1.02) than for 192 subjects with AD (mean=2.4 points, SD=1.42), or 142 subjects with MCI and Aβ pathology (mean=0.06 points, SD=0.98)</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The CFC1 demonstrated a larger standardized mean change for MCI participants than the ADAS-Cog 11 and all individual ADAS-Cog 11 tasks [15].</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The estimated sample size required to detect a hypothetical 25% treatment effect with 80% power in a two-arm clinical trial of subjects with MCI was smaller for the CFC2 (n=302) than the CFC1 (n=348), the ADAS-Cog 11 (n=772), and the CDR-SB (n=375)</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r w:rsidRPr="007173C1">
              <w:rPr>
                <w:sz w:val="22"/>
                <w:szCs w:val="22"/>
              </w:rPr>
              <w:t>For subjects with AD the estimated sample size was also smaller for the CFC2 (n=120) than the CFC1 (n=125), the ADAS-Cog 11 (n=256), and the CDR-SB (n=193)</w:t>
            </w:r>
            <w:r w:rsidR="00D06985">
              <w:rPr>
                <w:sz w:val="22"/>
                <w:szCs w:val="22"/>
              </w:rPr>
              <w:t xml:space="preserve"> </w:t>
            </w:r>
            <w:r w:rsidRPr="007173C1">
              <w:rPr>
                <w:sz w:val="22"/>
                <w:szCs w:val="22"/>
              </w:rPr>
              <w:t>[15].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t>CFC2[15]</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Scores for 377 subjects with MCI were worse (mean=-0.13 points, SD=1.0) than for 192 subjects with AD (mean=2.48 points, SD=1.51), or for 142 subjects with MCI and Aβ pathology (mean=0 points, SD=1.01)</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lastRenderedPageBreak/>
              <w:t>The CFC2 demonstrated a larger standardized mean change for MCI participants than the ADAS-Cog 11 and all individual ADAS-Cog 11 tasks [15].</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The estimated sample size required to detect a hypothetical 25% treatment effect with 80% power in a two-arm clinical trial of subjects with MCI was smaller for the CFC2 (n=302) than the CFC1 (n=348), the ADAS-Cog 11 </w:t>
            </w:r>
            <w:r w:rsidRPr="007173C1">
              <w:rPr>
                <w:sz w:val="22"/>
                <w:szCs w:val="22"/>
              </w:rPr>
              <w:lastRenderedPageBreak/>
              <w:t>(n=772), and the CDR-SB (n=375)</w:t>
            </w:r>
            <w:r w:rsidR="00D06985">
              <w:rPr>
                <w:sz w:val="22"/>
                <w:szCs w:val="22"/>
              </w:rPr>
              <w:t xml:space="preserve"> </w:t>
            </w:r>
            <w:r w:rsidRPr="007173C1">
              <w:rPr>
                <w:sz w:val="22"/>
                <w:szCs w:val="22"/>
              </w:rPr>
              <w:t>[15].</w:t>
            </w:r>
          </w:p>
          <w:p w:rsidR="00015189" w:rsidRPr="007173C1" w:rsidRDefault="00015189" w:rsidP="007173C1">
            <w:pPr>
              <w:tabs>
                <w:tab w:val="left" w:pos="360"/>
              </w:tabs>
              <w:spacing w:before="0" w:line="240" w:lineRule="auto"/>
              <w:rPr>
                <w:sz w:val="22"/>
                <w:szCs w:val="22"/>
              </w:rPr>
            </w:pPr>
            <w:r w:rsidRPr="007173C1">
              <w:rPr>
                <w:sz w:val="22"/>
                <w:szCs w:val="22"/>
              </w:rPr>
              <w:t>For subjects with AD the estimated sample size was also smaller for the CFC2 (n=120) than the CFC1 (n=125), the ADAS-Cog 11 (n=256), and the CDR-SB (n=193)</w:t>
            </w:r>
            <w:r w:rsidR="00D06985">
              <w:rPr>
                <w:sz w:val="22"/>
                <w:szCs w:val="22"/>
              </w:rPr>
              <w:t xml:space="preserve"> </w:t>
            </w:r>
            <w:r w:rsidRPr="007173C1">
              <w:rPr>
                <w:sz w:val="22"/>
                <w:szCs w:val="22"/>
              </w:rPr>
              <w:t>[15].</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rPr>
            </w:pPr>
            <w:proofErr w:type="spellStart"/>
            <w:r w:rsidRPr="007173C1">
              <w:rPr>
                <w:b/>
                <w:sz w:val="22"/>
                <w:szCs w:val="22"/>
              </w:rPr>
              <w:lastRenderedPageBreak/>
              <w:t>Parmacometric</w:t>
            </w:r>
            <w:proofErr w:type="spellEnd"/>
            <w:r w:rsidRPr="007173C1">
              <w:rPr>
                <w:b/>
                <w:sz w:val="22"/>
                <w:szCs w:val="22"/>
              </w:rPr>
              <w:t xml:space="preserve"> ADAS-Cog 13 [7]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shd w:val="clear" w:color="auto" w:fill="auto"/>
          </w:tcPr>
          <w:p w:rsidR="00015189" w:rsidRPr="007173C1" w:rsidRDefault="00015189" w:rsidP="007173C1">
            <w:pPr>
              <w:tabs>
                <w:tab w:val="left" w:pos="360"/>
              </w:tabs>
              <w:spacing w:before="0" w:line="240" w:lineRule="auto"/>
              <w:rPr>
                <w:sz w:val="22"/>
                <w:szCs w:val="22"/>
              </w:rPr>
            </w:pPr>
            <w:r w:rsidRPr="007173C1">
              <w:rPr>
                <w:sz w:val="22"/>
                <w:szCs w:val="22"/>
              </w:rPr>
              <w:t>The longitudinal IRT model was used to simulate 20-month two-arm clinical trials with a 20% treatment effect for 100, 200, 400, or 800 subjects with mild to moderate AD [</w:t>
            </w:r>
            <w:r w:rsidR="00FE7824" w:rsidRPr="007173C1">
              <w:rPr>
                <w:sz w:val="22"/>
                <w:szCs w:val="22"/>
              </w:rPr>
              <w:t>7</w:t>
            </w:r>
            <w:r w:rsidRPr="007173C1">
              <w:rPr>
                <w:sz w:val="22"/>
                <w:szCs w:val="22"/>
              </w:rPr>
              <w:t>]. Five hundred simulations were run for each sample size [</w:t>
            </w:r>
            <w:r w:rsidR="00FE7824" w:rsidRPr="007173C1">
              <w:rPr>
                <w:sz w:val="22"/>
                <w:szCs w:val="22"/>
              </w:rPr>
              <w:t>7</w:t>
            </w:r>
            <w:r w:rsidRPr="007173C1">
              <w:rPr>
                <w:sz w:val="22"/>
                <w:szCs w:val="22"/>
              </w:rPr>
              <w:t xml:space="preserve">]. The IRT based </w:t>
            </w:r>
            <w:proofErr w:type="spellStart"/>
            <w:r w:rsidRPr="007173C1">
              <w:rPr>
                <w:sz w:val="22"/>
                <w:szCs w:val="22"/>
              </w:rPr>
              <w:t>pharmacometric</w:t>
            </w:r>
            <w:proofErr w:type="spellEnd"/>
            <w:r w:rsidRPr="007173C1">
              <w:rPr>
                <w:sz w:val="22"/>
                <w:szCs w:val="22"/>
              </w:rPr>
              <w:t xml:space="preserve"> model required 71% fewer subjects than the Least-square mean analysis, and 23% fewer subjects than the </w:t>
            </w:r>
            <w:proofErr w:type="spellStart"/>
            <w:r w:rsidRPr="007173C1">
              <w:rPr>
                <w:sz w:val="22"/>
                <w:szCs w:val="22"/>
              </w:rPr>
              <w:t>pharmacometric</w:t>
            </w:r>
            <w:proofErr w:type="spellEnd"/>
            <w:r w:rsidRPr="007173C1">
              <w:rPr>
                <w:sz w:val="22"/>
                <w:szCs w:val="22"/>
              </w:rPr>
              <w:t xml:space="preserve"> model, to detect a treatment effect with 80% power and no inflation of Type I error [7].</w:t>
            </w:r>
            <w:r w:rsidRPr="007173C1" w:rsidDel="006666BD">
              <w:rPr>
                <w:sz w:val="22"/>
                <w:szCs w:val="22"/>
              </w:rPr>
              <w:t xml:space="preserve"> </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rPr>
            </w:pPr>
            <w:r w:rsidRPr="007173C1">
              <w:rPr>
                <w:b/>
                <w:sz w:val="22"/>
                <w:szCs w:val="22"/>
              </w:rPr>
              <w:t xml:space="preserve">IRT&amp; </w:t>
            </w:r>
            <w:proofErr w:type="spellStart"/>
            <w:r w:rsidRPr="007173C1">
              <w:rPr>
                <w:b/>
                <w:sz w:val="22"/>
                <w:szCs w:val="22"/>
              </w:rPr>
              <w:t>Pharmacometric</w:t>
            </w:r>
            <w:proofErr w:type="spellEnd"/>
            <w:r w:rsidRPr="007173C1">
              <w:rPr>
                <w:b/>
                <w:sz w:val="22"/>
                <w:szCs w:val="22"/>
              </w:rPr>
              <w:t xml:space="preserve"> ADAS-Cog 13 [7]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shd w:val="clear" w:color="auto" w:fill="auto"/>
          </w:tcPr>
          <w:p w:rsidR="00015189" w:rsidRPr="007173C1" w:rsidRDefault="00015189" w:rsidP="007173C1">
            <w:pPr>
              <w:tabs>
                <w:tab w:val="left" w:pos="360"/>
              </w:tabs>
              <w:spacing w:before="0" w:line="240" w:lineRule="auto"/>
              <w:rPr>
                <w:sz w:val="22"/>
                <w:szCs w:val="22"/>
              </w:rPr>
            </w:pPr>
            <w:r w:rsidRPr="007173C1">
              <w:rPr>
                <w:sz w:val="22"/>
                <w:szCs w:val="22"/>
              </w:rPr>
              <w:t>The longitudinal IRT model was used to simulate 20-month two-arm clinical trials with a 20% treatment effect for 100, 200, 400, or 800 subjects with mild to moderate AD [</w:t>
            </w:r>
            <w:r w:rsidR="00FE7824" w:rsidRPr="007173C1">
              <w:rPr>
                <w:sz w:val="22"/>
                <w:szCs w:val="22"/>
              </w:rPr>
              <w:t>7</w:t>
            </w:r>
            <w:r w:rsidRPr="007173C1">
              <w:rPr>
                <w:sz w:val="22"/>
                <w:szCs w:val="22"/>
              </w:rPr>
              <w:t xml:space="preserve">]. Five hundred simulations were run for each sample size [7]. The IRT based </w:t>
            </w:r>
            <w:proofErr w:type="spellStart"/>
            <w:r w:rsidRPr="007173C1">
              <w:rPr>
                <w:sz w:val="22"/>
                <w:szCs w:val="22"/>
              </w:rPr>
              <w:t>pharmacometric</w:t>
            </w:r>
            <w:proofErr w:type="spellEnd"/>
            <w:r w:rsidRPr="007173C1">
              <w:rPr>
                <w:sz w:val="22"/>
                <w:szCs w:val="22"/>
              </w:rPr>
              <w:t xml:space="preserve"> model required 71% fewer subjects than the Least-square mean analysis, and 23% fewer subjects than the </w:t>
            </w:r>
            <w:proofErr w:type="spellStart"/>
            <w:r w:rsidRPr="007173C1">
              <w:rPr>
                <w:sz w:val="22"/>
                <w:szCs w:val="22"/>
              </w:rPr>
              <w:t>pharmacometric</w:t>
            </w:r>
            <w:proofErr w:type="spellEnd"/>
            <w:r w:rsidRPr="007173C1">
              <w:rPr>
                <w:sz w:val="22"/>
                <w:szCs w:val="22"/>
              </w:rPr>
              <w:t xml:space="preserve"> model, to detect a treatment effect with 80% power and no inflation of Type I error [7].</w:t>
            </w:r>
            <w:r w:rsidRPr="007173C1" w:rsidDel="006666BD">
              <w:rPr>
                <w:sz w:val="22"/>
                <w:szCs w:val="22"/>
              </w:rPr>
              <w:t xml:space="preserve"> </w:t>
            </w:r>
          </w:p>
        </w:tc>
      </w:tr>
      <w:tr w:rsidR="00015189" w:rsidRPr="007173C1" w:rsidTr="0041797A">
        <w:tc>
          <w:tcPr>
            <w:tcW w:w="1413" w:type="dxa"/>
          </w:tcPr>
          <w:p w:rsidR="00015189" w:rsidRPr="007173C1" w:rsidRDefault="0041797A" w:rsidP="007173C1">
            <w:pPr>
              <w:tabs>
                <w:tab w:val="left" w:pos="360"/>
              </w:tabs>
              <w:spacing w:before="0" w:line="240" w:lineRule="auto"/>
              <w:rPr>
                <w:b/>
                <w:sz w:val="22"/>
                <w:szCs w:val="22"/>
              </w:rPr>
            </w:pPr>
            <w:proofErr w:type="spellStart"/>
            <w:r w:rsidRPr="007173C1">
              <w:rPr>
                <w:b/>
                <w:sz w:val="22"/>
                <w:szCs w:val="22"/>
              </w:rPr>
              <w:t>iADRS</w:t>
            </w:r>
            <w:proofErr w:type="spellEnd"/>
            <w:r w:rsidRPr="007173C1">
              <w:rPr>
                <w:b/>
                <w:sz w:val="22"/>
                <w:szCs w:val="22"/>
              </w:rPr>
              <w:t xml:space="preserve"> [98</w:t>
            </w:r>
            <w:r w:rsidR="00015189"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The </w:t>
            </w:r>
            <w:proofErr w:type="spellStart"/>
            <w:r w:rsidRPr="007173C1">
              <w:rPr>
                <w:sz w:val="22"/>
                <w:szCs w:val="22"/>
              </w:rPr>
              <w:t>iADRS</w:t>
            </w:r>
            <w:proofErr w:type="spellEnd"/>
            <w:r w:rsidRPr="007173C1">
              <w:rPr>
                <w:sz w:val="22"/>
                <w:szCs w:val="22"/>
              </w:rPr>
              <w:t xml:space="preserve"> had a larger SRM, based on </w:t>
            </w:r>
            <w:r w:rsidRPr="007173C1">
              <w:rPr>
                <w:sz w:val="22"/>
                <w:szCs w:val="22"/>
              </w:rPr>
              <w:lastRenderedPageBreak/>
              <w:t>visual inspection of forest plots, for MCI and mild and moderate AD compared to the ADAS-Cog 11, ADAS-Cog 13, MMSE, FAQ, CDR-SB, and several other mea</w:t>
            </w:r>
            <w:r w:rsidR="0041797A" w:rsidRPr="007173C1">
              <w:rPr>
                <w:sz w:val="22"/>
                <w:szCs w:val="22"/>
              </w:rPr>
              <w:t>sures of cognition [98</w:t>
            </w:r>
            <w:r w:rsidRPr="007173C1">
              <w:rPr>
                <w:sz w:val="22"/>
                <w:szCs w:val="22"/>
              </w:rPr>
              <w:t>].</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lastRenderedPageBreak/>
              <w:t xml:space="preserve">For several clinical trials including </w:t>
            </w:r>
            <w:r w:rsidRPr="007173C1">
              <w:rPr>
                <w:sz w:val="22"/>
                <w:szCs w:val="22"/>
              </w:rPr>
              <w:lastRenderedPageBreak/>
              <w:t xml:space="preserve">subjects with MCI or mild AD the </w:t>
            </w:r>
            <w:proofErr w:type="spellStart"/>
            <w:r w:rsidRPr="007173C1">
              <w:rPr>
                <w:sz w:val="22"/>
                <w:szCs w:val="22"/>
              </w:rPr>
              <w:t>iADRS</w:t>
            </w:r>
            <w:proofErr w:type="spellEnd"/>
            <w:r w:rsidRPr="007173C1">
              <w:rPr>
                <w:sz w:val="22"/>
                <w:szCs w:val="22"/>
              </w:rPr>
              <w:t xml:space="preserve"> was able to detect a statistically significant treatment </w:t>
            </w:r>
            <w:proofErr w:type="gramStart"/>
            <w:r w:rsidRPr="007173C1">
              <w:rPr>
                <w:sz w:val="22"/>
                <w:szCs w:val="22"/>
              </w:rPr>
              <w:t>effect,</w:t>
            </w:r>
            <w:proofErr w:type="gramEnd"/>
            <w:r w:rsidRPr="007173C1">
              <w:rPr>
                <w:sz w:val="22"/>
                <w:szCs w:val="22"/>
              </w:rPr>
              <w:t xml:space="preserve"> however the magnitude of this effect was not consistently better than that detected by t</w:t>
            </w:r>
            <w:r w:rsidR="0041797A" w:rsidRPr="007173C1">
              <w:rPr>
                <w:sz w:val="22"/>
                <w:szCs w:val="22"/>
              </w:rPr>
              <w:t>he ADAS-Cog 14 [98</w:t>
            </w:r>
            <w:r w:rsidRPr="007173C1">
              <w:rPr>
                <w:sz w:val="22"/>
                <w:szCs w:val="22"/>
              </w:rPr>
              <w:t>].</w:t>
            </w: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rPr>
            </w:pPr>
            <w:r w:rsidRPr="007173C1">
              <w:rPr>
                <w:b/>
                <w:sz w:val="22"/>
                <w:szCs w:val="22"/>
              </w:rPr>
              <w:lastRenderedPageBreak/>
              <w:t>Str</w:t>
            </w:r>
            <w:r w:rsidR="00FE7824" w:rsidRPr="007173C1">
              <w:rPr>
                <w:b/>
                <w:sz w:val="22"/>
                <w:szCs w:val="22"/>
              </w:rPr>
              <w:t>aightforward Sensitive Scale [99</w:t>
            </w:r>
            <w:r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The SRM of the SSS in subjects with MCI was greater than that of the CDR-SB alone or the ADAS-Cog 13 over 1 year (SRM: SSS=0.62, CDR-SB=0.55, ADAS-Cog 13=0.28), two years (SRM: SSS=0.82, CDR-SB=0.74, ADAS-Cog 13=0.56), three years (SRM: SSS=0.93, CDR-SB=0.76, ADAS-Cog 13=0.65), and when assuming a hypothetical treatment effect delayed disease progression by one year (SRM: SSS=0.37, C</w:t>
            </w:r>
            <w:r w:rsidR="00FE7824" w:rsidRPr="007173C1">
              <w:rPr>
                <w:sz w:val="22"/>
                <w:szCs w:val="22"/>
              </w:rPr>
              <w:t>DR-SB=0.35, ADAS-Cog 13=0.29)[99</w:t>
            </w:r>
            <w:r w:rsidRPr="007173C1">
              <w:rPr>
                <w:sz w:val="22"/>
                <w:szCs w:val="22"/>
              </w:rPr>
              <w:t>]. The SSS maintained the highest SRMs for subgroups of subjects with MCI and biomarkers indicating increased</w:t>
            </w:r>
            <w:r w:rsidR="00FE7824" w:rsidRPr="007173C1">
              <w:rPr>
                <w:sz w:val="22"/>
                <w:szCs w:val="22"/>
              </w:rPr>
              <w:t xml:space="preserve"> risk of disease progression [99</w:t>
            </w:r>
            <w:r w:rsidRPr="007173C1">
              <w:rPr>
                <w:sz w:val="22"/>
                <w:szCs w:val="22"/>
              </w:rPr>
              <w:t>].</w:t>
            </w:r>
            <w:r w:rsidRPr="007173C1" w:rsidDel="006666BD">
              <w:rPr>
                <w:sz w:val="22"/>
                <w:szCs w:val="22"/>
              </w:rPr>
              <w:t xml:space="preserve"> </w:t>
            </w: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The SSS was estimated to require a smaller sample size (n=189) to detect a hypothetical treatment effect that slows disease progression by 50% in a two-year MCI trial compared to the CDR-SB (n</w:t>
            </w:r>
            <w:r w:rsidR="00FE7824" w:rsidRPr="007173C1">
              <w:rPr>
                <w:sz w:val="22"/>
                <w:szCs w:val="22"/>
              </w:rPr>
              <w:t>=231) and ADAS-Cog 13 (n=402)</w:t>
            </w:r>
            <w:r w:rsidR="00D06985">
              <w:rPr>
                <w:sz w:val="22"/>
                <w:szCs w:val="22"/>
              </w:rPr>
              <w:t xml:space="preserve"> </w:t>
            </w:r>
            <w:r w:rsidR="00FE7824" w:rsidRPr="007173C1">
              <w:rPr>
                <w:sz w:val="22"/>
                <w:szCs w:val="22"/>
              </w:rPr>
              <w:t>[99</w:t>
            </w:r>
            <w:r w:rsidRPr="007173C1">
              <w:rPr>
                <w:sz w:val="22"/>
                <w:szCs w:val="22"/>
              </w:rPr>
              <w:t>].</w:t>
            </w:r>
          </w:p>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41797A" w:rsidP="007173C1">
            <w:pPr>
              <w:tabs>
                <w:tab w:val="left" w:pos="360"/>
              </w:tabs>
              <w:spacing w:before="0" w:line="240" w:lineRule="auto"/>
              <w:rPr>
                <w:b/>
                <w:sz w:val="22"/>
                <w:szCs w:val="22"/>
                <w:vertAlign w:val="superscript"/>
              </w:rPr>
            </w:pPr>
            <w:r w:rsidRPr="007173C1">
              <w:rPr>
                <w:b/>
                <w:sz w:val="22"/>
                <w:szCs w:val="22"/>
              </w:rPr>
              <w:t>ADAS-Cog 3</w:t>
            </w:r>
            <w:r w:rsidR="00015189" w:rsidRPr="007173C1">
              <w:rPr>
                <w:b/>
                <w:sz w:val="22"/>
                <w:szCs w:val="22"/>
              </w:rPr>
              <w:t xml:space="preserve"> [2]</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Mean scores for 382 subjects with MCI (mean=8.23 points, SD=3.76) were lower than scores for 97 subjects with mild AD (mean=15.95 points, SD=4.15)</w:t>
            </w:r>
            <w:r w:rsidR="00D06985">
              <w:rPr>
                <w:sz w:val="22"/>
                <w:szCs w:val="22"/>
              </w:rPr>
              <w:t xml:space="preserve"> </w:t>
            </w:r>
            <w:r w:rsidRPr="007173C1">
              <w:rPr>
                <w:sz w:val="22"/>
                <w:szCs w:val="22"/>
              </w:rPr>
              <w:t>[2].</w:t>
            </w: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There were </w:t>
            </w:r>
            <w:r w:rsidR="00567DE8" w:rsidRPr="007173C1">
              <w:rPr>
                <w:sz w:val="22"/>
                <w:szCs w:val="22"/>
              </w:rPr>
              <w:t>small changes on the ADAS-Cog 3</w:t>
            </w:r>
            <w:r w:rsidRPr="007173C1">
              <w:rPr>
                <w:sz w:val="22"/>
                <w:szCs w:val="22"/>
              </w:rPr>
              <w:t xml:space="preserve"> for 382 subjects with MCI over 24 months (mean=0.71 points, SD=3.56) and for 169 subjects with MCI over 36 months (mean=1.23 points, SD=4.00)</w:t>
            </w:r>
            <w:r w:rsidR="00D06985">
              <w:rPr>
                <w:sz w:val="22"/>
                <w:szCs w:val="22"/>
              </w:rPr>
              <w:t xml:space="preserve"> </w:t>
            </w:r>
            <w:r w:rsidRPr="007173C1">
              <w:rPr>
                <w:sz w:val="22"/>
                <w:szCs w:val="22"/>
              </w:rPr>
              <w:t xml:space="preserve">[2]. There was also little change in an enriched MCI subgroup (mean 24 month change=1.48 points, SD=3.78; mean 36 month change=2.55 points, SD=4.40), and almost no change in a non-enriched subgroup (mean 24 month change=-0.19 points, SD=3.06; mean 36 month </w:t>
            </w:r>
            <w:r w:rsidRPr="007173C1">
              <w:rPr>
                <w:sz w:val="22"/>
                <w:szCs w:val="22"/>
              </w:rPr>
              <w:lastRenderedPageBreak/>
              <w:t>change=-0.25 points, SD=5.12)</w:t>
            </w:r>
            <w:r w:rsidR="00D06985">
              <w:rPr>
                <w:sz w:val="22"/>
                <w:szCs w:val="22"/>
              </w:rPr>
              <w:t xml:space="preserve"> </w:t>
            </w:r>
            <w:r w:rsidRPr="007173C1">
              <w:rPr>
                <w:sz w:val="22"/>
                <w:szCs w:val="22"/>
              </w:rPr>
              <w:t>[2]. Among 97 subjects with mild AD there was also little change in scores over 12 months (mean=1.82 points, SD=3.91) and 24 months (mean=3.81 points, SD=5.12)</w:t>
            </w:r>
            <w:r w:rsidR="00D06985">
              <w:rPr>
                <w:sz w:val="22"/>
                <w:szCs w:val="22"/>
              </w:rPr>
              <w:t xml:space="preserve"> </w:t>
            </w:r>
            <w:r w:rsidRPr="007173C1">
              <w:rPr>
                <w:sz w:val="22"/>
                <w:szCs w:val="22"/>
              </w:rPr>
              <w:t>[2]. The SRM for change over 24 months in 382 subjects with MCI was 0.42 (95% CI</w:t>
            </w:r>
            <w:r w:rsidR="00567DE8" w:rsidRPr="007173C1">
              <w:rPr>
                <w:sz w:val="22"/>
                <w:szCs w:val="22"/>
              </w:rPr>
              <w:t xml:space="preserve"> 0.20, 0.61) for the ADAS-Cog 3</w:t>
            </w:r>
            <w:r w:rsidRPr="007173C1">
              <w:rPr>
                <w:sz w:val="22"/>
                <w:szCs w:val="22"/>
              </w:rPr>
              <w:t xml:space="preserve"> and 0.37 (95% CI 0.15, 0.57) for the ADAS-Cog 11, adjusting for baseline MMSE, age, sex, APOE</w:t>
            </w:r>
            <w:r w:rsidR="00A92CD6">
              <w:rPr>
                <w:sz w:val="22"/>
                <w:szCs w:val="22"/>
              </w:rPr>
              <w:t xml:space="preserve"> </w:t>
            </w:r>
            <w:r w:rsidR="00A92CD6">
              <w:rPr>
                <w:color w:val="000000"/>
                <w:szCs w:val="24"/>
              </w:rPr>
              <w:sym w:font="Symbol" w:char="F065"/>
            </w:r>
            <w:r w:rsidRPr="007173C1">
              <w:rPr>
                <w:sz w:val="22"/>
                <w:szCs w:val="22"/>
              </w:rPr>
              <w:t>4 allele [2].</w:t>
            </w:r>
            <w:r w:rsidRPr="007173C1">
              <w:rPr>
                <w:sz w:val="22"/>
                <w:szCs w:val="22"/>
                <w:vertAlign w:val="superscript"/>
              </w:rPr>
              <w:t xml:space="preserve"> </w:t>
            </w:r>
            <w:r w:rsidRPr="007173C1">
              <w:rPr>
                <w:sz w:val="22"/>
                <w:szCs w:val="22"/>
              </w:rPr>
              <w:t>The SRM for change over 12 months in 97 subjects with mild AD was 0.81 (95% CI</w:t>
            </w:r>
            <w:r w:rsidR="00567DE8" w:rsidRPr="007173C1">
              <w:rPr>
                <w:sz w:val="22"/>
                <w:szCs w:val="22"/>
              </w:rPr>
              <w:t xml:space="preserve"> 0.43, 1.09) for the ADAS-Cog 3</w:t>
            </w:r>
            <w:r w:rsidRPr="007173C1">
              <w:rPr>
                <w:sz w:val="22"/>
                <w:szCs w:val="22"/>
              </w:rPr>
              <w:t xml:space="preserve"> and 0.87 (95% CI 0.46, 1.13) for the ADAS-Cog 11, adjusting for baseline MMSE, age, sex, APOE</w:t>
            </w:r>
            <w:r w:rsidR="00A92CD6">
              <w:rPr>
                <w:sz w:val="22"/>
                <w:szCs w:val="22"/>
              </w:rPr>
              <w:t xml:space="preserve"> </w:t>
            </w:r>
            <w:r w:rsidR="00A92CD6">
              <w:rPr>
                <w:color w:val="000000"/>
                <w:szCs w:val="24"/>
              </w:rPr>
              <w:sym w:font="Symbol" w:char="F065"/>
            </w:r>
            <w:r w:rsidRPr="007173C1">
              <w:rPr>
                <w:sz w:val="22"/>
                <w:szCs w:val="22"/>
              </w:rPr>
              <w:t xml:space="preserve">4 allele [2]. SRMs were not statistically different from each other (all </w:t>
            </w:r>
            <w:r w:rsidR="007173C1">
              <w:rPr>
                <w:sz w:val="22"/>
                <w:szCs w:val="22"/>
              </w:rPr>
              <w:t>p</w:t>
            </w:r>
            <w:r w:rsidRPr="007173C1">
              <w:rPr>
                <w:sz w:val="22"/>
                <w:szCs w:val="22"/>
              </w:rPr>
              <w:t>&gt;0.10)</w:t>
            </w:r>
            <w:r w:rsidR="00D06985">
              <w:rPr>
                <w:sz w:val="22"/>
                <w:szCs w:val="22"/>
              </w:rPr>
              <w:t xml:space="preserve"> </w:t>
            </w:r>
            <w:r w:rsidRPr="007173C1">
              <w:rPr>
                <w:sz w:val="22"/>
                <w:szCs w:val="22"/>
              </w:rPr>
              <w:t>[2].</w:t>
            </w: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015189" w:rsidP="007173C1">
            <w:pPr>
              <w:tabs>
                <w:tab w:val="left" w:pos="360"/>
              </w:tabs>
              <w:spacing w:before="0" w:line="240" w:lineRule="auto"/>
              <w:rPr>
                <w:b/>
                <w:sz w:val="22"/>
                <w:szCs w:val="22"/>
                <w:vertAlign w:val="superscript"/>
              </w:rPr>
            </w:pPr>
            <w:r w:rsidRPr="007173C1">
              <w:rPr>
                <w:b/>
                <w:sz w:val="22"/>
                <w:szCs w:val="22"/>
              </w:rPr>
              <w:lastRenderedPageBreak/>
              <w:t>ADAS-Cog 5 [2]</w:t>
            </w:r>
          </w:p>
        </w:tc>
        <w:tc>
          <w:tcPr>
            <w:tcW w:w="3892" w:type="dxa"/>
          </w:tcPr>
          <w:p w:rsidR="00015189" w:rsidRPr="007173C1" w:rsidRDefault="00015189" w:rsidP="007173C1">
            <w:pPr>
              <w:tabs>
                <w:tab w:val="left" w:pos="360"/>
              </w:tabs>
              <w:spacing w:before="0" w:line="240" w:lineRule="auto"/>
              <w:rPr>
                <w:sz w:val="22"/>
                <w:szCs w:val="22"/>
              </w:rPr>
            </w:pPr>
            <w:r w:rsidRPr="007173C1">
              <w:rPr>
                <w:sz w:val="22"/>
                <w:szCs w:val="22"/>
              </w:rPr>
              <w:t>Scores for 382 subjects with MCI (mean=13.96 points, SD=6.17) were lower than those of 97 subjects with mild AD (mean=26.20 points, SD=5.31)</w:t>
            </w:r>
            <w:r w:rsidR="00D06985">
              <w:rPr>
                <w:sz w:val="22"/>
                <w:szCs w:val="22"/>
              </w:rPr>
              <w:t xml:space="preserve"> </w:t>
            </w:r>
            <w:r w:rsidRPr="007173C1">
              <w:rPr>
                <w:sz w:val="22"/>
                <w:szCs w:val="22"/>
              </w:rPr>
              <w:t>[2].</w:t>
            </w:r>
          </w:p>
        </w:tc>
        <w:tc>
          <w:tcPr>
            <w:tcW w:w="3870" w:type="dxa"/>
          </w:tcPr>
          <w:p w:rsidR="00015189" w:rsidRPr="007173C1" w:rsidRDefault="00015189" w:rsidP="007173C1">
            <w:pPr>
              <w:tabs>
                <w:tab w:val="left" w:pos="360"/>
              </w:tabs>
              <w:spacing w:before="0" w:line="240" w:lineRule="auto"/>
              <w:rPr>
                <w:i/>
                <w:sz w:val="22"/>
                <w:szCs w:val="22"/>
              </w:rPr>
            </w:pPr>
            <w:r w:rsidRPr="007173C1">
              <w:rPr>
                <w:sz w:val="22"/>
                <w:szCs w:val="22"/>
              </w:rPr>
              <w:t>There were small changes in ADAS-Cog 5 scores for 382 subjects with MCI over 24 months (mean change=1.13 points, SD=4.87) and for 168 subjects with MCI over 36 months (mean change=1.95 points, SD=5.58)</w:t>
            </w:r>
            <w:r w:rsidR="00D06985">
              <w:rPr>
                <w:sz w:val="22"/>
                <w:szCs w:val="22"/>
              </w:rPr>
              <w:t xml:space="preserve"> </w:t>
            </w:r>
            <w:r w:rsidRPr="007173C1">
              <w:rPr>
                <w:sz w:val="22"/>
                <w:szCs w:val="22"/>
              </w:rPr>
              <w:t xml:space="preserve">[2]. There was very little difference in an enriched MCI subgroup (mean 24 month change=2.21 points, SD=5.58; mean 36 month change=3.82 points, SD=6.03), and in </w:t>
            </w:r>
            <w:proofErr w:type="gramStart"/>
            <w:r w:rsidRPr="007173C1">
              <w:rPr>
                <w:sz w:val="22"/>
                <w:szCs w:val="22"/>
              </w:rPr>
              <w:t>an</w:t>
            </w:r>
            <w:proofErr w:type="gramEnd"/>
            <w:r w:rsidRPr="007173C1">
              <w:rPr>
                <w:sz w:val="22"/>
                <w:szCs w:val="22"/>
              </w:rPr>
              <w:t xml:space="preserve"> non-enriched subgroup scores there was no meaningful change (mean 24 month change=-0.11 points, SD=4.12; mean 36 month change=-0.16 points, SD=4.15)</w:t>
            </w:r>
            <w:r w:rsidR="00D06985">
              <w:rPr>
                <w:sz w:val="22"/>
                <w:szCs w:val="22"/>
              </w:rPr>
              <w:t xml:space="preserve"> </w:t>
            </w:r>
            <w:r w:rsidRPr="007173C1">
              <w:rPr>
                <w:sz w:val="22"/>
                <w:szCs w:val="22"/>
              </w:rPr>
              <w:t xml:space="preserve">[2]. Among 97 subjects with mild AD there also was very little change on the ADAS-Cog 5 score over 12 months </w:t>
            </w:r>
            <w:r w:rsidRPr="007173C1">
              <w:rPr>
                <w:sz w:val="22"/>
                <w:szCs w:val="22"/>
              </w:rPr>
              <w:lastRenderedPageBreak/>
              <w:t>(mean change=2.64 points, SD=4.39) and 24 months (mean change=5.48 points, SD=6.13)</w:t>
            </w:r>
            <w:r w:rsidR="00D06985">
              <w:rPr>
                <w:sz w:val="22"/>
                <w:szCs w:val="22"/>
              </w:rPr>
              <w:t xml:space="preserve"> </w:t>
            </w:r>
            <w:r w:rsidRPr="007173C1">
              <w:rPr>
                <w:sz w:val="22"/>
                <w:szCs w:val="22"/>
              </w:rPr>
              <w:t>[2]. The SRM for the ADAS-Cog 5 for 382 subjects with MCI over 24 months was 0.42 (95% CI 0.19, 0.63), adjusting for baseline MMSE, age, sex, APOE</w:t>
            </w:r>
            <w:r w:rsidR="007173C1">
              <w:rPr>
                <w:sz w:val="22"/>
                <w:szCs w:val="22"/>
              </w:rPr>
              <w:t xml:space="preserve"> </w:t>
            </w:r>
            <w:r w:rsidR="007173C1">
              <w:rPr>
                <w:color w:val="000000"/>
                <w:szCs w:val="24"/>
              </w:rPr>
              <w:sym w:font="Symbol" w:char="F065"/>
            </w:r>
            <w:r w:rsidRPr="007173C1">
              <w:rPr>
                <w:sz w:val="22"/>
                <w:szCs w:val="22"/>
              </w:rPr>
              <w:t>4 allele [2].</w:t>
            </w:r>
            <w:r w:rsidRPr="007173C1">
              <w:rPr>
                <w:sz w:val="22"/>
                <w:szCs w:val="22"/>
                <w:vertAlign w:val="superscript"/>
              </w:rPr>
              <w:t xml:space="preserve"> </w:t>
            </w:r>
            <w:r w:rsidRPr="007173C1">
              <w:rPr>
                <w:sz w:val="22"/>
                <w:szCs w:val="22"/>
              </w:rPr>
              <w:t>The SRM for change on the ADAS-Cog 5 over 12 months in 97 subjects with mild AD was 0.93 (95% CI 0.52, 1.22), adjusting for baseline MMSE, age, sex, APOE</w:t>
            </w:r>
            <w:r w:rsidR="00A92CD6">
              <w:rPr>
                <w:sz w:val="22"/>
                <w:szCs w:val="22"/>
              </w:rPr>
              <w:t xml:space="preserve"> </w:t>
            </w:r>
            <w:r w:rsidR="00A92CD6">
              <w:rPr>
                <w:color w:val="000000"/>
                <w:szCs w:val="24"/>
              </w:rPr>
              <w:sym w:font="Symbol" w:char="F065"/>
            </w:r>
            <w:r w:rsidRPr="007173C1">
              <w:rPr>
                <w:sz w:val="22"/>
                <w:szCs w:val="22"/>
              </w:rPr>
              <w:t>4 allele [2]. SRMs for the ADAS-Cog 5 were not significantly different than SRMs for the ADAS-Cog</w:t>
            </w:r>
            <w:r w:rsidR="00567DE8" w:rsidRPr="007173C1">
              <w:rPr>
                <w:sz w:val="22"/>
                <w:szCs w:val="22"/>
              </w:rPr>
              <w:t xml:space="preserve"> 11, ADAS-Cog 13, or ADAS-Cog 3</w:t>
            </w:r>
            <w:r w:rsidRPr="007173C1">
              <w:rPr>
                <w:sz w:val="22"/>
                <w:szCs w:val="22"/>
              </w:rPr>
              <w:t xml:space="preserve"> (all </w:t>
            </w:r>
            <w:r w:rsidR="007173C1">
              <w:rPr>
                <w:sz w:val="22"/>
                <w:szCs w:val="22"/>
              </w:rPr>
              <w:t>p</w:t>
            </w:r>
            <w:r w:rsidRPr="007173C1">
              <w:rPr>
                <w:sz w:val="22"/>
                <w:szCs w:val="22"/>
              </w:rPr>
              <w:t>&gt;0.10)</w:t>
            </w:r>
            <w:r w:rsidR="00D06985">
              <w:rPr>
                <w:sz w:val="22"/>
                <w:szCs w:val="22"/>
              </w:rPr>
              <w:t xml:space="preserve"> </w:t>
            </w:r>
            <w:r w:rsidRPr="007173C1">
              <w:rPr>
                <w:sz w:val="22"/>
                <w:szCs w:val="22"/>
              </w:rPr>
              <w:t>[2].</w:t>
            </w:r>
            <w:r w:rsidRPr="007173C1" w:rsidDel="006666BD">
              <w:rPr>
                <w:sz w:val="22"/>
                <w:szCs w:val="22"/>
              </w:rPr>
              <w:t xml:space="preserve"> </w:t>
            </w: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FE7824" w:rsidP="007173C1">
            <w:pPr>
              <w:tabs>
                <w:tab w:val="left" w:pos="360"/>
              </w:tabs>
              <w:spacing w:before="0" w:line="240" w:lineRule="auto"/>
              <w:rPr>
                <w:b/>
                <w:sz w:val="22"/>
                <w:szCs w:val="22"/>
              </w:rPr>
            </w:pPr>
            <w:r w:rsidRPr="007173C1">
              <w:rPr>
                <w:b/>
                <w:sz w:val="22"/>
                <w:szCs w:val="22"/>
              </w:rPr>
              <w:lastRenderedPageBreak/>
              <w:t>ADAS-13RW [100</w:t>
            </w:r>
            <w:r w:rsidR="00015189"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p>
        </w:tc>
      </w:tr>
      <w:tr w:rsidR="00015189" w:rsidRPr="007173C1" w:rsidTr="0041797A">
        <w:tc>
          <w:tcPr>
            <w:tcW w:w="1413" w:type="dxa"/>
          </w:tcPr>
          <w:p w:rsidR="00015189" w:rsidRPr="007173C1" w:rsidRDefault="00FE7824" w:rsidP="007173C1">
            <w:pPr>
              <w:tabs>
                <w:tab w:val="left" w:pos="360"/>
              </w:tabs>
              <w:spacing w:before="0" w:line="240" w:lineRule="auto"/>
              <w:rPr>
                <w:b/>
                <w:sz w:val="22"/>
                <w:szCs w:val="22"/>
              </w:rPr>
            </w:pPr>
            <w:r w:rsidRPr="007173C1">
              <w:rPr>
                <w:b/>
                <w:sz w:val="22"/>
                <w:szCs w:val="22"/>
              </w:rPr>
              <w:t>ADCOMS [101</w:t>
            </w:r>
            <w:r w:rsidR="00015189" w:rsidRPr="007173C1">
              <w:rPr>
                <w:b/>
                <w:sz w:val="22"/>
                <w:szCs w:val="22"/>
              </w:rPr>
              <w:t xml:space="preserve">] </w:t>
            </w:r>
          </w:p>
        </w:tc>
        <w:tc>
          <w:tcPr>
            <w:tcW w:w="3892" w:type="dxa"/>
          </w:tcPr>
          <w:p w:rsidR="00015189" w:rsidRPr="007173C1" w:rsidRDefault="00015189" w:rsidP="007173C1">
            <w:pPr>
              <w:tabs>
                <w:tab w:val="left" w:pos="360"/>
              </w:tabs>
              <w:spacing w:before="0" w:line="240" w:lineRule="auto"/>
              <w:rPr>
                <w:sz w:val="22"/>
                <w:szCs w:val="22"/>
              </w:rPr>
            </w:pPr>
          </w:p>
        </w:tc>
        <w:tc>
          <w:tcPr>
            <w:tcW w:w="387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The 12-month SRM of the ADCOMS (0.419) was larger than that of the ADAS-Cog 12 (0.196), MMSE (0.221), and CDR-SB (0.353) for subjects with </w:t>
            </w:r>
            <w:proofErr w:type="spellStart"/>
            <w:r w:rsidRPr="007173C1">
              <w:rPr>
                <w:sz w:val="22"/>
                <w:szCs w:val="22"/>
              </w:rPr>
              <w:t>aMCI</w:t>
            </w:r>
            <w:proofErr w:type="spellEnd"/>
            <w:r w:rsidRPr="007173C1">
              <w:rPr>
                <w:sz w:val="22"/>
                <w:szCs w:val="22"/>
              </w:rPr>
              <w:t xml:space="preserve">, as well as subgroups of </w:t>
            </w:r>
            <w:proofErr w:type="spellStart"/>
            <w:r w:rsidRPr="007173C1">
              <w:rPr>
                <w:sz w:val="22"/>
                <w:szCs w:val="22"/>
              </w:rPr>
              <w:t>aMCI</w:t>
            </w:r>
            <w:proofErr w:type="spellEnd"/>
            <w:r w:rsidRPr="007173C1">
              <w:rPr>
                <w:sz w:val="22"/>
                <w:szCs w:val="22"/>
              </w:rPr>
              <w:t xml:space="preserve"> subjects with genetic </w:t>
            </w:r>
            <w:r w:rsidR="00FE7824" w:rsidRPr="007173C1">
              <w:rPr>
                <w:sz w:val="22"/>
                <w:szCs w:val="22"/>
              </w:rPr>
              <w:t>or CSF AD biomarkers present [101</w:t>
            </w:r>
            <w:r w:rsidRPr="007173C1">
              <w:rPr>
                <w:sz w:val="22"/>
                <w:szCs w:val="22"/>
              </w:rPr>
              <w:t>].</w:t>
            </w:r>
          </w:p>
          <w:p w:rsidR="00015189" w:rsidRPr="007173C1" w:rsidRDefault="00015189" w:rsidP="007173C1">
            <w:pPr>
              <w:tabs>
                <w:tab w:val="left" w:pos="360"/>
              </w:tabs>
              <w:spacing w:before="0" w:line="240" w:lineRule="auto"/>
              <w:rPr>
                <w:sz w:val="22"/>
                <w:szCs w:val="22"/>
              </w:rPr>
            </w:pPr>
          </w:p>
        </w:tc>
        <w:tc>
          <w:tcPr>
            <w:tcW w:w="3690" w:type="dxa"/>
          </w:tcPr>
          <w:p w:rsidR="00015189" w:rsidRPr="007173C1" w:rsidRDefault="00015189" w:rsidP="007173C1">
            <w:pPr>
              <w:tabs>
                <w:tab w:val="left" w:pos="360"/>
              </w:tabs>
              <w:spacing w:before="0" w:line="240" w:lineRule="auto"/>
              <w:rPr>
                <w:sz w:val="22"/>
                <w:szCs w:val="22"/>
              </w:rPr>
            </w:pPr>
            <w:r w:rsidRPr="007173C1">
              <w:rPr>
                <w:sz w:val="22"/>
                <w:szCs w:val="22"/>
              </w:rPr>
              <w:t xml:space="preserve">The ADCOMS was able to detect a statistically significant treatment effect for donepezil compared to placebo for </w:t>
            </w:r>
            <w:proofErr w:type="spellStart"/>
            <w:r w:rsidRPr="007173C1">
              <w:rPr>
                <w:sz w:val="22"/>
                <w:szCs w:val="22"/>
              </w:rPr>
              <w:t>aMCI</w:t>
            </w:r>
            <w:proofErr w:type="spellEnd"/>
            <w:r w:rsidRPr="007173C1">
              <w:rPr>
                <w:sz w:val="22"/>
                <w:szCs w:val="22"/>
              </w:rPr>
              <w:t xml:space="preserve"> participants (</w:t>
            </w:r>
            <w:r w:rsidR="007173C1">
              <w:rPr>
                <w:sz w:val="22"/>
                <w:szCs w:val="22"/>
              </w:rPr>
              <w:t>p</w:t>
            </w:r>
            <w:r w:rsidRPr="007173C1">
              <w:rPr>
                <w:sz w:val="22"/>
                <w:szCs w:val="22"/>
              </w:rPr>
              <w:t>=0.02), which was also found by the MMSE (</w:t>
            </w:r>
            <w:r w:rsidR="007173C1">
              <w:rPr>
                <w:sz w:val="22"/>
                <w:szCs w:val="22"/>
              </w:rPr>
              <w:t>p</w:t>
            </w:r>
            <w:r w:rsidRPr="007173C1">
              <w:rPr>
                <w:sz w:val="22"/>
                <w:szCs w:val="22"/>
              </w:rPr>
              <w:t>=0.02), but not by the ADAS-Cog 1</w:t>
            </w:r>
            <w:r w:rsidR="00FE7824" w:rsidRPr="007173C1">
              <w:rPr>
                <w:sz w:val="22"/>
                <w:szCs w:val="22"/>
              </w:rPr>
              <w:t>2 (</w:t>
            </w:r>
            <w:r w:rsidR="007173C1">
              <w:rPr>
                <w:sz w:val="22"/>
                <w:szCs w:val="22"/>
              </w:rPr>
              <w:t>p</w:t>
            </w:r>
            <w:r w:rsidR="00FE7824" w:rsidRPr="007173C1">
              <w:rPr>
                <w:sz w:val="22"/>
                <w:szCs w:val="22"/>
              </w:rPr>
              <w:t>=0.12) or CDR-SB (</w:t>
            </w:r>
            <w:r w:rsidR="007173C1">
              <w:rPr>
                <w:sz w:val="22"/>
                <w:szCs w:val="22"/>
              </w:rPr>
              <w:t>p</w:t>
            </w:r>
            <w:r w:rsidR="00FE7824" w:rsidRPr="007173C1">
              <w:rPr>
                <w:sz w:val="22"/>
                <w:szCs w:val="22"/>
              </w:rPr>
              <w:t>=0.11)</w:t>
            </w:r>
            <w:r w:rsidR="00D06985">
              <w:rPr>
                <w:sz w:val="22"/>
                <w:szCs w:val="22"/>
              </w:rPr>
              <w:t xml:space="preserve"> </w:t>
            </w:r>
            <w:r w:rsidR="00FE7824" w:rsidRPr="007173C1">
              <w:rPr>
                <w:sz w:val="22"/>
                <w:szCs w:val="22"/>
              </w:rPr>
              <w:t>[101</w:t>
            </w:r>
            <w:r w:rsidRPr="007173C1">
              <w:rPr>
                <w:sz w:val="22"/>
                <w:szCs w:val="22"/>
              </w:rPr>
              <w:t xml:space="preserve">]. The ADCOMS did not find a statistically significant effect for vitamin E in subjects with </w:t>
            </w:r>
            <w:proofErr w:type="spellStart"/>
            <w:r w:rsidRPr="007173C1">
              <w:rPr>
                <w:sz w:val="22"/>
                <w:szCs w:val="22"/>
              </w:rPr>
              <w:t>aMCI</w:t>
            </w:r>
            <w:proofErr w:type="spellEnd"/>
            <w:r w:rsidRPr="007173C1">
              <w:rPr>
                <w:sz w:val="22"/>
                <w:szCs w:val="22"/>
              </w:rPr>
              <w:t xml:space="preserve"> (</w:t>
            </w:r>
            <w:r w:rsidR="007173C1">
              <w:rPr>
                <w:sz w:val="22"/>
                <w:szCs w:val="22"/>
              </w:rPr>
              <w:t>p</w:t>
            </w:r>
            <w:r w:rsidRPr="007173C1">
              <w:rPr>
                <w:sz w:val="22"/>
                <w:szCs w:val="22"/>
              </w:rPr>
              <w:t>=0.89), nor did the ADAS-Cog 12 (</w:t>
            </w:r>
            <w:r w:rsidR="007173C1">
              <w:rPr>
                <w:sz w:val="22"/>
                <w:szCs w:val="22"/>
              </w:rPr>
              <w:t>p</w:t>
            </w:r>
            <w:r w:rsidRPr="007173C1">
              <w:rPr>
                <w:sz w:val="22"/>
                <w:szCs w:val="22"/>
              </w:rPr>
              <w:t>=0.76), MMSE</w:t>
            </w:r>
            <w:r w:rsidR="00FE7824" w:rsidRPr="007173C1">
              <w:rPr>
                <w:sz w:val="22"/>
                <w:szCs w:val="22"/>
              </w:rPr>
              <w:t xml:space="preserve"> (</w:t>
            </w:r>
            <w:r w:rsidR="007173C1">
              <w:rPr>
                <w:sz w:val="22"/>
                <w:szCs w:val="22"/>
              </w:rPr>
              <w:t>p</w:t>
            </w:r>
            <w:r w:rsidR="00FE7824" w:rsidRPr="007173C1">
              <w:rPr>
                <w:sz w:val="22"/>
                <w:szCs w:val="22"/>
              </w:rPr>
              <w:t>=0.59), or CDR-SB (</w:t>
            </w:r>
            <w:r w:rsidR="007173C1">
              <w:rPr>
                <w:sz w:val="22"/>
                <w:szCs w:val="22"/>
              </w:rPr>
              <w:t>p</w:t>
            </w:r>
            <w:r w:rsidR="00FE7824" w:rsidRPr="007173C1">
              <w:rPr>
                <w:sz w:val="22"/>
                <w:szCs w:val="22"/>
              </w:rPr>
              <w:t>=0.42)</w:t>
            </w:r>
            <w:r w:rsidR="00D06985">
              <w:rPr>
                <w:sz w:val="22"/>
                <w:szCs w:val="22"/>
              </w:rPr>
              <w:t xml:space="preserve"> </w:t>
            </w:r>
            <w:r w:rsidR="00FE7824" w:rsidRPr="007173C1">
              <w:rPr>
                <w:sz w:val="22"/>
                <w:szCs w:val="22"/>
              </w:rPr>
              <w:t>[101</w:t>
            </w:r>
            <w:r w:rsidRPr="007173C1">
              <w:rPr>
                <w:sz w:val="22"/>
                <w:szCs w:val="22"/>
              </w:rPr>
              <w:t>]. The ADCOMS was also able to detect a statistically significant treatment effect for donepezil in subjects with mild AD (</w:t>
            </w:r>
            <w:r w:rsidR="007173C1">
              <w:rPr>
                <w:sz w:val="22"/>
                <w:szCs w:val="22"/>
              </w:rPr>
              <w:t>p</w:t>
            </w:r>
            <w:r w:rsidRPr="007173C1">
              <w:rPr>
                <w:sz w:val="22"/>
                <w:szCs w:val="22"/>
              </w:rPr>
              <w:t>&lt;0.0001) as did the ADAS-Cog 12 (</w:t>
            </w:r>
            <w:r w:rsidR="007173C1">
              <w:rPr>
                <w:sz w:val="22"/>
                <w:szCs w:val="22"/>
              </w:rPr>
              <w:t>p</w:t>
            </w:r>
            <w:r w:rsidRPr="007173C1">
              <w:rPr>
                <w:sz w:val="22"/>
                <w:szCs w:val="22"/>
              </w:rPr>
              <w:t>=0.0008), MMSE (</w:t>
            </w:r>
            <w:r w:rsidR="007173C1">
              <w:rPr>
                <w:sz w:val="22"/>
                <w:szCs w:val="22"/>
              </w:rPr>
              <w:t>p</w:t>
            </w:r>
            <w:r w:rsidRPr="007173C1">
              <w:rPr>
                <w:sz w:val="22"/>
                <w:szCs w:val="22"/>
              </w:rPr>
              <w:t>=0.001), and CDR-SB (</w:t>
            </w:r>
            <w:r w:rsidR="007173C1">
              <w:rPr>
                <w:sz w:val="22"/>
                <w:szCs w:val="22"/>
              </w:rPr>
              <w:t>p</w:t>
            </w:r>
            <w:r w:rsidR="00FE7824" w:rsidRPr="007173C1">
              <w:rPr>
                <w:sz w:val="22"/>
                <w:szCs w:val="22"/>
              </w:rPr>
              <w:t>=0.02)</w:t>
            </w:r>
            <w:r w:rsidR="00D06985">
              <w:rPr>
                <w:sz w:val="22"/>
                <w:szCs w:val="22"/>
              </w:rPr>
              <w:t xml:space="preserve"> </w:t>
            </w:r>
            <w:r w:rsidR="00FE7824" w:rsidRPr="007173C1">
              <w:rPr>
                <w:sz w:val="22"/>
                <w:szCs w:val="22"/>
              </w:rPr>
              <w:t>[101</w:t>
            </w:r>
            <w:r w:rsidRPr="007173C1">
              <w:rPr>
                <w:sz w:val="22"/>
                <w:szCs w:val="22"/>
              </w:rPr>
              <w:t xml:space="preserve">]. </w:t>
            </w:r>
          </w:p>
        </w:tc>
      </w:tr>
    </w:tbl>
    <w:p w:rsidR="00015189" w:rsidRPr="007173C1" w:rsidRDefault="003564B7" w:rsidP="007173C1">
      <w:pPr>
        <w:tabs>
          <w:tab w:val="left" w:pos="360"/>
        </w:tabs>
        <w:spacing w:before="0" w:line="240" w:lineRule="auto"/>
        <w:rPr>
          <w:sz w:val="20"/>
        </w:rPr>
      </w:pPr>
      <w:r w:rsidRPr="003564B7">
        <w:rPr>
          <w:sz w:val="20"/>
        </w:rPr>
        <w:lastRenderedPageBreak/>
        <w:t xml:space="preserve">CV, </w:t>
      </w:r>
      <w:r w:rsidR="00015189" w:rsidRPr="003564B7">
        <w:rPr>
          <w:sz w:val="20"/>
        </w:rPr>
        <w:t>Coefficient of Variation (Standard Deviation/Mean); NC=Normal Cognition; MCI</w:t>
      </w:r>
      <w:r w:rsidRPr="003564B7">
        <w:rPr>
          <w:sz w:val="20"/>
        </w:rPr>
        <w:t>, mild cognitive impair</w:t>
      </w:r>
      <w:r w:rsidR="00015189" w:rsidRPr="003564B7">
        <w:rPr>
          <w:sz w:val="20"/>
        </w:rPr>
        <w:t>ment; ADAS-Cog</w:t>
      </w:r>
      <w:r w:rsidRPr="003564B7">
        <w:rPr>
          <w:sz w:val="20"/>
        </w:rPr>
        <w:t>, A</w:t>
      </w:r>
      <w:r w:rsidR="00015189" w:rsidRPr="003564B7">
        <w:rPr>
          <w:sz w:val="20"/>
        </w:rPr>
        <w:t>lzheimer’s Disease</w:t>
      </w:r>
      <w:r w:rsidR="00015189" w:rsidRPr="007173C1">
        <w:rPr>
          <w:sz w:val="20"/>
        </w:rPr>
        <w:t xml:space="preserve"> Assessment </w:t>
      </w:r>
      <w:r>
        <w:rPr>
          <w:sz w:val="20"/>
        </w:rPr>
        <w:t xml:space="preserve">Scale-Cognitive Subscale; </w:t>
      </w:r>
      <w:proofErr w:type="spellStart"/>
      <w:r>
        <w:rPr>
          <w:sz w:val="20"/>
        </w:rPr>
        <w:t>VaDAS</w:t>
      </w:r>
      <w:proofErr w:type="spellEnd"/>
      <w:r>
        <w:rPr>
          <w:sz w:val="20"/>
        </w:rPr>
        <w:t xml:space="preserve">, </w:t>
      </w:r>
      <w:r w:rsidR="00015189" w:rsidRPr="007173C1">
        <w:rPr>
          <w:sz w:val="20"/>
        </w:rPr>
        <w:t>Vascular Dementia Assessment Scale; N/A</w:t>
      </w:r>
      <w:r>
        <w:rPr>
          <w:sz w:val="20"/>
        </w:rPr>
        <w:t xml:space="preserve">, not available; GDS, </w:t>
      </w:r>
      <w:r w:rsidR="00015189" w:rsidRPr="007173C1">
        <w:rPr>
          <w:sz w:val="20"/>
        </w:rPr>
        <w:t>Geriatric Depression Scale; DBRI</w:t>
      </w:r>
      <w:r>
        <w:rPr>
          <w:sz w:val="20"/>
        </w:rPr>
        <w:t xml:space="preserve">, </w:t>
      </w:r>
      <w:r w:rsidR="00015189" w:rsidRPr="007173C1">
        <w:rPr>
          <w:sz w:val="20"/>
        </w:rPr>
        <w:t xml:space="preserve">Dysfunctional </w:t>
      </w:r>
      <w:r w:rsidRPr="007173C1">
        <w:rPr>
          <w:sz w:val="20"/>
        </w:rPr>
        <w:t>Behavior</w:t>
      </w:r>
      <w:r w:rsidR="00015189" w:rsidRPr="007173C1">
        <w:rPr>
          <w:sz w:val="20"/>
        </w:rPr>
        <w:t xml:space="preserve"> Rating Instrument; MMSE</w:t>
      </w:r>
      <w:r>
        <w:rPr>
          <w:sz w:val="20"/>
        </w:rPr>
        <w:t>, M</w:t>
      </w:r>
      <w:r w:rsidR="00015189" w:rsidRPr="007173C1">
        <w:rPr>
          <w:sz w:val="20"/>
        </w:rPr>
        <w:t>ini</w:t>
      </w:r>
      <w:r>
        <w:rPr>
          <w:sz w:val="20"/>
        </w:rPr>
        <w:t>-</w:t>
      </w:r>
      <w:r w:rsidR="00015189" w:rsidRPr="007173C1">
        <w:rPr>
          <w:sz w:val="20"/>
        </w:rPr>
        <w:t>Mental State Examination, ADL</w:t>
      </w:r>
      <w:r>
        <w:rPr>
          <w:sz w:val="20"/>
        </w:rPr>
        <w:t xml:space="preserve">, </w:t>
      </w:r>
      <w:r w:rsidR="00015189" w:rsidRPr="007173C1">
        <w:rPr>
          <w:sz w:val="20"/>
        </w:rPr>
        <w:t>Activities of Daily Living; IRT</w:t>
      </w:r>
      <w:r>
        <w:rPr>
          <w:sz w:val="20"/>
        </w:rPr>
        <w:t xml:space="preserve">, </w:t>
      </w:r>
      <w:r w:rsidR="00015189" w:rsidRPr="007173C1">
        <w:rPr>
          <w:sz w:val="20"/>
        </w:rPr>
        <w:t>Item Response Theory; OPLM</w:t>
      </w:r>
      <w:r>
        <w:rPr>
          <w:sz w:val="20"/>
        </w:rPr>
        <w:t xml:space="preserve">, </w:t>
      </w:r>
      <w:r w:rsidR="00015189" w:rsidRPr="007173C1">
        <w:rPr>
          <w:sz w:val="20"/>
        </w:rPr>
        <w:t xml:space="preserve">One Parameter Logistic Model; </w:t>
      </w:r>
      <w:proofErr w:type="spellStart"/>
      <w:r w:rsidR="00015189" w:rsidRPr="007173C1">
        <w:rPr>
          <w:sz w:val="20"/>
        </w:rPr>
        <w:t>cADAS</w:t>
      </w:r>
      <w:proofErr w:type="spellEnd"/>
      <w:r w:rsidR="00015189" w:rsidRPr="007173C1">
        <w:rPr>
          <w:sz w:val="20"/>
        </w:rPr>
        <w:t>-Cog</w:t>
      </w:r>
      <w:r>
        <w:rPr>
          <w:sz w:val="20"/>
        </w:rPr>
        <w:t xml:space="preserve">, </w:t>
      </w:r>
      <w:r w:rsidR="00015189" w:rsidRPr="007173C1">
        <w:rPr>
          <w:sz w:val="20"/>
        </w:rPr>
        <w:t>Computerized ADAS-Cog; TDAS</w:t>
      </w:r>
      <w:r>
        <w:rPr>
          <w:sz w:val="20"/>
        </w:rPr>
        <w:t xml:space="preserve">, </w:t>
      </w:r>
      <w:r w:rsidR="00015189" w:rsidRPr="007173C1">
        <w:rPr>
          <w:sz w:val="20"/>
        </w:rPr>
        <w:t>Touch Panel Type Dementia Assessment Scale ; CAMCOG</w:t>
      </w:r>
      <w:r>
        <w:rPr>
          <w:sz w:val="20"/>
        </w:rPr>
        <w:t xml:space="preserve">, </w:t>
      </w:r>
      <w:r w:rsidR="00015189" w:rsidRPr="007173C1">
        <w:rPr>
          <w:sz w:val="20"/>
        </w:rPr>
        <w:t>Cambridge Cognitive Examination;</w:t>
      </w:r>
      <w:r w:rsidR="00637448" w:rsidRPr="007173C1">
        <w:rPr>
          <w:sz w:val="20"/>
        </w:rPr>
        <w:t xml:space="preserve"> </w:t>
      </w:r>
      <w:r w:rsidR="00015189" w:rsidRPr="007173C1">
        <w:rPr>
          <w:sz w:val="20"/>
        </w:rPr>
        <w:t>EF</w:t>
      </w:r>
      <w:r>
        <w:rPr>
          <w:sz w:val="20"/>
        </w:rPr>
        <w:t xml:space="preserve">, </w:t>
      </w:r>
      <w:r w:rsidR="00015189" w:rsidRPr="007173C1">
        <w:rPr>
          <w:sz w:val="20"/>
        </w:rPr>
        <w:t>Executive Function; FA</w:t>
      </w:r>
      <w:r>
        <w:rPr>
          <w:sz w:val="20"/>
        </w:rPr>
        <w:t xml:space="preserve">, </w:t>
      </w:r>
      <w:r w:rsidR="00015189" w:rsidRPr="007173C1">
        <w:rPr>
          <w:sz w:val="20"/>
        </w:rPr>
        <w:t>Functional Assessment; TMT</w:t>
      </w:r>
      <w:r>
        <w:rPr>
          <w:sz w:val="20"/>
        </w:rPr>
        <w:t xml:space="preserve">, Trail Making Test; DSST, </w:t>
      </w:r>
      <w:r w:rsidR="00015189" w:rsidRPr="007173C1">
        <w:rPr>
          <w:sz w:val="20"/>
        </w:rPr>
        <w:t>Digit Symbol Substitution Test; FAQ</w:t>
      </w:r>
      <w:r>
        <w:rPr>
          <w:sz w:val="20"/>
        </w:rPr>
        <w:t xml:space="preserve">, </w:t>
      </w:r>
      <w:r w:rsidR="00015189" w:rsidRPr="007173C1">
        <w:rPr>
          <w:sz w:val="20"/>
        </w:rPr>
        <w:t>Functional Assessment Questionnaire; ADNI</w:t>
      </w:r>
      <w:r>
        <w:rPr>
          <w:sz w:val="20"/>
        </w:rPr>
        <w:t xml:space="preserve">, </w:t>
      </w:r>
      <w:r w:rsidR="00015189" w:rsidRPr="007173C1">
        <w:rPr>
          <w:sz w:val="20"/>
        </w:rPr>
        <w:t>Alzheimer’s Disease Neuroimaging Initiative; RAVLT</w:t>
      </w:r>
      <w:r>
        <w:rPr>
          <w:sz w:val="20"/>
        </w:rPr>
        <w:t xml:space="preserve">, </w:t>
      </w:r>
      <w:r w:rsidR="00015189" w:rsidRPr="007173C1">
        <w:rPr>
          <w:sz w:val="20"/>
        </w:rPr>
        <w:t>Rey Auditory Visual Learning Test; CC</w:t>
      </w:r>
      <w:r>
        <w:rPr>
          <w:sz w:val="20"/>
        </w:rPr>
        <w:t xml:space="preserve">, </w:t>
      </w:r>
      <w:r w:rsidR="00015189" w:rsidRPr="007173C1">
        <w:rPr>
          <w:sz w:val="20"/>
        </w:rPr>
        <w:t>Cognitive Composite; AVLT-</w:t>
      </w:r>
      <w:proofErr w:type="spellStart"/>
      <w:r w:rsidR="00015189" w:rsidRPr="007173C1">
        <w:rPr>
          <w:sz w:val="20"/>
        </w:rPr>
        <w:t>Immed</w:t>
      </w:r>
      <w:proofErr w:type="spellEnd"/>
      <w:r>
        <w:rPr>
          <w:sz w:val="20"/>
        </w:rPr>
        <w:t xml:space="preserve">, </w:t>
      </w:r>
      <w:r w:rsidR="00015189" w:rsidRPr="007173C1">
        <w:rPr>
          <w:sz w:val="20"/>
        </w:rPr>
        <w:t>Auditory Visual Learning Test–Immediate; CDR-SB</w:t>
      </w:r>
      <w:r>
        <w:rPr>
          <w:sz w:val="20"/>
        </w:rPr>
        <w:t xml:space="preserve">, </w:t>
      </w:r>
      <w:r w:rsidR="00015189" w:rsidRPr="007173C1">
        <w:rPr>
          <w:sz w:val="20"/>
        </w:rPr>
        <w:t>Clinical Dementia Rating Sum of Boxes; CFC</w:t>
      </w:r>
      <w:r>
        <w:rPr>
          <w:sz w:val="20"/>
        </w:rPr>
        <w:t xml:space="preserve">, </w:t>
      </w:r>
      <w:r w:rsidR="00015189" w:rsidRPr="007173C1">
        <w:rPr>
          <w:sz w:val="20"/>
        </w:rPr>
        <w:t xml:space="preserve">Cognitive Functional Composite; </w:t>
      </w:r>
      <w:proofErr w:type="spellStart"/>
      <w:r w:rsidR="00015189" w:rsidRPr="007173C1">
        <w:rPr>
          <w:sz w:val="20"/>
        </w:rPr>
        <w:t>iADRS</w:t>
      </w:r>
      <w:proofErr w:type="spellEnd"/>
      <w:r>
        <w:rPr>
          <w:sz w:val="20"/>
        </w:rPr>
        <w:t xml:space="preserve">, </w:t>
      </w:r>
      <w:r w:rsidR="00015189" w:rsidRPr="007173C1">
        <w:rPr>
          <w:sz w:val="20"/>
        </w:rPr>
        <w:t xml:space="preserve">Integrated Alzheimer’s Disease Rating Scale; </w:t>
      </w:r>
      <w:proofErr w:type="spellStart"/>
      <w:r w:rsidR="00015189" w:rsidRPr="007173C1">
        <w:rPr>
          <w:sz w:val="20"/>
        </w:rPr>
        <w:t>iADL</w:t>
      </w:r>
      <w:proofErr w:type="spellEnd"/>
      <w:r>
        <w:rPr>
          <w:sz w:val="20"/>
        </w:rPr>
        <w:t xml:space="preserve">, </w:t>
      </w:r>
      <w:r w:rsidR="00015189" w:rsidRPr="007173C1">
        <w:rPr>
          <w:sz w:val="20"/>
        </w:rPr>
        <w:t>Instrumental Activities of Daily Living; ADAS-13RW</w:t>
      </w:r>
      <w:r>
        <w:rPr>
          <w:sz w:val="20"/>
        </w:rPr>
        <w:t xml:space="preserve">, </w:t>
      </w:r>
      <w:r w:rsidR="00015189" w:rsidRPr="007173C1">
        <w:rPr>
          <w:sz w:val="20"/>
        </w:rPr>
        <w:t>ADAS-Cog 13 Re-weighted; ADCOMS</w:t>
      </w:r>
      <w:r>
        <w:rPr>
          <w:sz w:val="20"/>
        </w:rPr>
        <w:t xml:space="preserve">, </w:t>
      </w:r>
      <w:r w:rsidR="00015189" w:rsidRPr="007173C1">
        <w:rPr>
          <w:sz w:val="20"/>
        </w:rPr>
        <w:t xml:space="preserve">Alzheimer’s Disease Composite Score. Superscripts refer to reference numbers at the end of Chapter 3. When compared to the ADAS-Cog, results for both the modified and original ADAS-Cog 11 are presented. When a modified version was compared to another modified version or another standard global outcome measure such as the MMSE or CDR-SB, then results from those modified or alternative measures are also presented. If comparison was made with the ADAS-Cog 11 as well as other standard cognitive outcome measures, then only the results fostering comparison with the ADAS-Cog 11 are presented. </w:t>
      </w:r>
    </w:p>
    <w:p w:rsidR="0024250B" w:rsidRPr="00637448" w:rsidRDefault="0024250B" w:rsidP="007173C1">
      <w:pPr>
        <w:tabs>
          <w:tab w:val="left" w:pos="360"/>
        </w:tabs>
        <w:spacing w:before="0" w:line="240" w:lineRule="auto"/>
        <w:rPr>
          <w:szCs w:val="24"/>
        </w:rPr>
      </w:pPr>
    </w:p>
    <w:p w:rsidR="0024250B" w:rsidRPr="00637448" w:rsidRDefault="0024250B" w:rsidP="007173C1">
      <w:pPr>
        <w:tabs>
          <w:tab w:val="left" w:pos="360"/>
        </w:tabs>
        <w:spacing w:before="0" w:line="240" w:lineRule="auto"/>
        <w:rPr>
          <w:szCs w:val="24"/>
        </w:rPr>
      </w:pPr>
    </w:p>
    <w:p w:rsidR="00F4041B" w:rsidRPr="00637448" w:rsidRDefault="00F4041B" w:rsidP="007173C1">
      <w:pPr>
        <w:tabs>
          <w:tab w:val="left" w:pos="360"/>
        </w:tabs>
        <w:spacing w:before="0" w:line="240" w:lineRule="auto"/>
        <w:rPr>
          <w:szCs w:val="24"/>
        </w:rPr>
      </w:pPr>
    </w:p>
    <w:p w:rsidR="003564B7" w:rsidRDefault="003564B7" w:rsidP="007173C1">
      <w:pPr>
        <w:tabs>
          <w:tab w:val="left" w:pos="360"/>
        </w:tabs>
        <w:spacing w:before="0" w:line="240" w:lineRule="auto"/>
        <w:rPr>
          <w:b/>
          <w:szCs w:val="24"/>
          <w:u w:val="single"/>
        </w:rPr>
        <w:sectPr w:rsidR="003564B7" w:rsidSect="00A72DC6">
          <w:pgSz w:w="15840" w:h="12240" w:orient="landscape"/>
          <w:pgMar w:top="1440" w:right="1440" w:bottom="1440" w:left="1440" w:header="708" w:footer="708" w:gutter="0"/>
          <w:cols w:space="708"/>
          <w:titlePg/>
          <w:docGrid w:linePitch="360"/>
        </w:sectPr>
      </w:pPr>
    </w:p>
    <w:p w:rsidR="0024250B" w:rsidRDefault="009D135C" w:rsidP="003564B7">
      <w:pPr>
        <w:tabs>
          <w:tab w:val="left" w:pos="360"/>
        </w:tabs>
        <w:spacing w:before="0" w:line="480" w:lineRule="auto"/>
        <w:rPr>
          <w:b/>
          <w:szCs w:val="24"/>
        </w:rPr>
      </w:pPr>
      <w:r w:rsidRPr="003564B7">
        <w:rPr>
          <w:b/>
          <w:szCs w:val="24"/>
        </w:rPr>
        <w:lastRenderedPageBreak/>
        <w:t>GLOSSARY</w:t>
      </w:r>
    </w:p>
    <w:p w:rsidR="009D135C" w:rsidRPr="003564B7" w:rsidRDefault="009D135C" w:rsidP="003564B7">
      <w:pPr>
        <w:tabs>
          <w:tab w:val="left" w:pos="360"/>
        </w:tabs>
        <w:spacing w:before="0" w:line="480" w:lineRule="auto"/>
        <w:rPr>
          <w:szCs w:val="24"/>
        </w:rPr>
      </w:pPr>
    </w:p>
    <w:p w:rsidR="0024250B" w:rsidRPr="00637448" w:rsidRDefault="0024250B" w:rsidP="003564B7">
      <w:pPr>
        <w:tabs>
          <w:tab w:val="left" w:pos="360"/>
        </w:tabs>
        <w:spacing w:before="0" w:line="480" w:lineRule="auto"/>
        <w:rPr>
          <w:szCs w:val="24"/>
        </w:rPr>
      </w:pPr>
      <w:r w:rsidRPr="00637448">
        <w:rPr>
          <w:b/>
          <w:szCs w:val="24"/>
        </w:rPr>
        <w:t>Responsiveness</w:t>
      </w:r>
      <w:r w:rsidRPr="00637448">
        <w:rPr>
          <w:szCs w:val="24"/>
        </w:rPr>
        <w:t xml:space="preserve"> is the ability to detect change, and is population and context specific. The population specific aspect of responsiveness means that even though the ADAS-Cog has been shown to detect important changes in dementia, it may not be able to detect important changes at pre-dementia levels of impairment. The context specific aspect of responsiveness means that an outcome measure may be highly responsive to particular treatment effects in a clinical trial, but not very responsive to changes in an observational study or a clinical setting where a physician is assessing a single patient. Thus, when talking about responsiveness it is important to specify the type of change one is interested in detecting. This can be done using three axes of classification described by de Beaton et al. (2001):</w:t>
      </w:r>
    </w:p>
    <w:p w:rsidR="0024250B" w:rsidRPr="00637448" w:rsidRDefault="0024250B" w:rsidP="003564B7">
      <w:pPr>
        <w:tabs>
          <w:tab w:val="left" w:pos="360"/>
        </w:tabs>
        <w:spacing w:before="0" w:line="480" w:lineRule="auto"/>
        <w:rPr>
          <w:szCs w:val="24"/>
        </w:rPr>
      </w:pPr>
      <w:r w:rsidRPr="00637448">
        <w:rPr>
          <w:szCs w:val="24"/>
        </w:rPr>
        <w:t>1)</w:t>
      </w:r>
      <w:r w:rsidRPr="00637448">
        <w:rPr>
          <w:szCs w:val="24"/>
        </w:rPr>
        <w:tab/>
        <w:t xml:space="preserve">The “Who” axis differentiates between individual level and group level of analysis and interpretation. A group-level analysis and interpretation of change is often used for research studies, but outcome measures will require adequate levels of responsiveness to individual-level change if they are intended to also be used for one-on-one assessments, such as in a clinical setting. </w:t>
      </w:r>
    </w:p>
    <w:p w:rsidR="0024250B" w:rsidRPr="00637448" w:rsidRDefault="0024250B" w:rsidP="003564B7">
      <w:pPr>
        <w:tabs>
          <w:tab w:val="left" w:pos="360"/>
        </w:tabs>
        <w:spacing w:before="0" w:line="480" w:lineRule="auto"/>
        <w:rPr>
          <w:szCs w:val="24"/>
        </w:rPr>
      </w:pPr>
      <w:r w:rsidRPr="00637448">
        <w:rPr>
          <w:szCs w:val="24"/>
        </w:rPr>
        <w:t>2)</w:t>
      </w:r>
      <w:r w:rsidRPr="00637448">
        <w:rPr>
          <w:szCs w:val="24"/>
        </w:rPr>
        <w:tab/>
        <w:t>The “Which” axis describes whether the scores being contrasted are measuring between-person differences at one point in time, within-person changes over time, or between-person differences of within-person change over time.</w:t>
      </w:r>
      <w:r w:rsidR="008F14F7" w:rsidRPr="00637448">
        <w:rPr>
          <w:szCs w:val="24"/>
        </w:rPr>
        <w:t xml:space="preserve"> </w:t>
      </w:r>
    </w:p>
    <w:p w:rsidR="0024250B" w:rsidRPr="00637448" w:rsidRDefault="0024250B" w:rsidP="003564B7">
      <w:pPr>
        <w:tabs>
          <w:tab w:val="left" w:pos="360"/>
        </w:tabs>
        <w:spacing w:before="0" w:line="480" w:lineRule="auto"/>
        <w:rPr>
          <w:szCs w:val="24"/>
        </w:rPr>
      </w:pPr>
      <w:r w:rsidRPr="00637448">
        <w:rPr>
          <w:szCs w:val="24"/>
        </w:rPr>
        <w:t>3)</w:t>
      </w:r>
      <w:r w:rsidRPr="00637448">
        <w:rPr>
          <w:szCs w:val="24"/>
        </w:rPr>
        <w:tab/>
        <w:t>The “What” axis specifies the type of change being quantified in the study, such as minimum potentially detectable change by the instrument, observed change measured by an instrument in a population, or observed change in a population deemed to have improved by a clinician.</w:t>
      </w:r>
      <w:r w:rsidR="008F14F7" w:rsidRPr="00637448">
        <w:rPr>
          <w:szCs w:val="24"/>
        </w:rPr>
        <w:t xml:space="preserve"> </w:t>
      </w:r>
    </w:p>
    <w:p w:rsidR="0024250B" w:rsidRDefault="0024250B" w:rsidP="003564B7">
      <w:pPr>
        <w:tabs>
          <w:tab w:val="left" w:pos="360"/>
        </w:tabs>
        <w:spacing w:before="0" w:line="480" w:lineRule="auto"/>
        <w:rPr>
          <w:szCs w:val="24"/>
        </w:rPr>
      </w:pPr>
      <w:r w:rsidRPr="00637448">
        <w:rPr>
          <w:b/>
          <w:szCs w:val="24"/>
        </w:rPr>
        <w:lastRenderedPageBreak/>
        <w:t>Baseline Discrimination</w:t>
      </w:r>
      <w:r w:rsidRPr="00637448">
        <w:rPr>
          <w:szCs w:val="24"/>
        </w:rPr>
        <w:t xml:space="preserve">: Responsiveness to group-level between-person differences in stage of disease progression at one point in time. An outcome measure demonstrating responsiveness to baseline discrimination will be able to distinguish between groups of study participants that have been grouped according to different diagnostic categories where the categories are considered to follow a somewhat stepwise increase in severity, such as normal cognition, mild cognitive impairment, and dementia. </w:t>
      </w:r>
    </w:p>
    <w:p w:rsidR="009D135C" w:rsidRPr="00637448" w:rsidRDefault="009D135C" w:rsidP="003564B7">
      <w:pPr>
        <w:tabs>
          <w:tab w:val="left" w:pos="360"/>
        </w:tabs>
        <w:spacing w:before="0" w:line="480" w:lineRule="auto"/>
        <w:rPr>
          <w:szCs w:val="24"/>
        </w:rPr>
      </w:pPr>
    </w:p>
    <w:p w:rsidR="0024250B" w:rsidRDefault="0024250B" w:rsidP="003564B7">
      <w:pPr>
        <w:tabs>
          <w:tab w:val="left" w:pos="360"/>
        </w:tabs>
        <w:spacing w:before="0" w:line="480" w:lineRule="auto"/>
        <w:rPr>
          <w:szCs w:val="24"/>
        </w:rPr>
      </w:pPr>
      <w:r w:rsidRPr="00637448">
        <w:rPr>
          <w:b/>
          <w:szCs w:val="24"/>
        </w:rPr>
        <w:t xml:space="preserve">Disease </w:t>
      </w:r>
      <w:r w:rsidR="009D135C">
        <w:rPr>
          <w:b/>
          <w:szCs w:val="24"/>
        </w:rPr>
        <w:t>P</w:t>
      </w:r>
      <w:r w:rsidRPr="00637448">
        <w:rPr>
          <w:b/>
          <w:szCs w:val="24"/>
        </w:rPr>
        <w:t>rogression</w:t>
      </w:r>
      <w:r w:rsidRPr="009D135C">
        <w:rPr>
          <w:b/>
          <w:szCs w:val="24"/>
        </w:rPr>
        <w:t>:</w:t>
      </w:r>
      <w:r w:rsidRPr="00637448">
        <w:rPr>
          <w:szCs w:val="24"/>
        </w:rPr>
        <w:t xml:space="preserve"> Responsiveness to group-level within-person observed change measured by an outcome measure in a given population. An outcome measure responsive to disease progression will be able to detect changes over time in a cohort study that does not administer an intervention. </w:t>
      </w:r>
    </w:p>
    <w:p w:rsidR="009D135C" w:rsidRPr="00637448" w:rsidRDefault="009D135C" w:rsidP="003564B7">
      <w:pPr>
        <w:tabs>
          <w:tab w:val="left" w:pos="360"/>
        </w:tabs>
        <w:spacing w:before="0" w:line="480" w:lineRule="auto"/>
        <w:rPr>
          <w:szCs w:val="24"/>
        </w:rPr>
      </w:pPr>
    </w:p>
    <w:p w:rsidR="0024250B" w:rsidRPr="00637448" w:rsidRDefault="0024250B" w:rsidP="003564B7">
      <w:pPr>
        <w:tabs>
          <w:tab w:val="left" w:pos="360"/>
        </w:tabs>
        <w:spacing w:before="0" w:line="480" w:lineRule="auto"/>
        <w:rPr>
          <w:szCs w:val="24"/>
        </w:rPr>
      </w:pPr>
      <w:r w:rsidRPr="00637448">
        <w:rPr>
          <w:b/>
          <w:szCs w:val="24"/>
        </w:rPr>
        <w:t>Treatment Effect:</w:t>
      </w:r>
      <w:r w:rsidRPr="00637448">
        <w:rPr>
          <w:szCs w:val="24"/>
        </w:rPr>
        <w:t xml:space="preserve"> Responsiveness to group-level between-person differences of within-person observed change over time. An outcome measure demonstrating responsiveness to a treatment effect would be able to tell if a group of participants receiving donepezil improved over the course of a randomized controlled trial compared to a group of </w:t>
      </w:r>
      <w:r w:rsidR="008F14F7" w:rsidRPr="00637448">
        <w:rPr>
          <w:szCs w:val="24"/>
        </w:rPr>
        <w:t>participants receiving placebo.</w:t>
      </w:r>
    </w:p>
    <w:p w:rsidR="009D135C" w:rsidRDefault="009D135C" w:rsidP="003564B7">
      <w:pPr>
        <w:tabs>
          <w:tab w:val="left" w:pos="360"/>
        </w:tabs>
        <w:spacing w:before="0" w:line="480" w:lineRule="auto"/>
        <w:rPr>
          <w:szCs w:val="24"/>
        </w:rPr>
      </w:pPr>
    </w:p>
    <w:p w:rsidR="008F14F7" w:rsidRPr="009D135C" w:rsidRDefault="009D135C" w:rsidP="003564B7">
      <w:pPr>
        <w:tabs>
          <w:tab w:val="left" w:pos="360"/>
        </w:tabs>
        <w:spacing w:before="0" w:line="480" w:lineRule="auto"/>
        <w:rPr>
          <w:b/>
          <w:szCs w:val="24"/>
        </w:rPr>
      </w:pPr>
      <w:r>
        <w:rPr>
          <w:b/>
          <w:szCs w:val="24"/>
        </w:rPr>
        <w:t>Glossary reference</w:t>
      </w:r>
    </w:p>
    <w:p w:rsidR="008F14F7" w:rsidRPr="00637448" w:rsidRDefault="008F14F7" w:rsidP="003564B7">
      <w:pPr>
        <w:tabs>
          <w:tab w:val="left" w:pos="360"/>
        </w:tabs>
        <w:spacing w:before="0" w:line="480" w:lineRule="auto"/>
        <w:rPr>
          <w:szCs w:val="24"/>
        </w:rPr>
      </w:pPr>
      <w:proofErr w:type="gramStart"/>
      <w:r w:rsidRPr="00637448">
        <w:rPr>
          <w:szCs w:val="24"/>
        </w:rPr>
        <w:t>De Beaton E, Bombardier C, Katz JN, Wright JG (2001) A taxonomy for responsiveness.</w:t>
      </w:r>
      <w:proofErr w:type="gramEnd"/>
      <w:r w:rsidRPr="00637448">
        <w:rPr>
          <w:szCs w:val="24"/>
        </w:rPr>
        <w:t xml:space="preserve"> </w:t>
      </w:r>
      <w:r w:rsidRPr="00637448">
        <w:rPr>
          <w:i/>
          <w:iCs/>
          <w:szCs w:val="24"/>
        </w:rPr>
        <w:t xml:space="preserve">J </w:t>
      </w:r>
      <w:proofErr w:type="spellStart"/>
      <w:r w:rsidRPr="00637448">
        <w:rPr>
          <w:i/>
          <w:iCs/>
          <w:szCs w:val="24"/>
        </w:rPr>
        <w:t>Clin</w:t>
      </w:r>
      <w:proofErr w:type="spellEnd"/>
      <w:r w:rsidRPr="00637448">
        <w:rPr>
          <w:i/>
          <w:iCs/>
          <w:szCs w:val="24"/>
        </w:rPr>
        <w:t xml:space="preserve"> </w:t>
      </w:r>
      <w:proofErr w:type="spellStart"/>
      <w:r w:rsidRPr="00637448">
        <w:rPr>
          <w:i/>
          <w:iCs/>
          <w:szCs w:val="24"/>
        </w:rPr>
        <w:t>Epidemiol</w:t>
      </w:r>
      <w:proofErr w:type="spellEnd"/>
      <w:r w:rsidRPr="00637448">
        <w:rPr>
          <w:szCs w:val="24"/>
        </w:rPr>
        <w:t xml:space="preserve"> </w:t>
      </w:r>
      <w:r w:rsidRPr="00637448">
        <w:rPr>
          <w:b/>
          <w:szCs w:val="24"/>
        </w:rPr>
        <w:t>54</w:t>
      </w:r>
      <w:r w:rsidRPr="00637448">
        <w:rPr>
          <w:szCs w:val="24"/>
        </w:rPr>
        <w:t xml:space="preserve">, 1204-1217. </w:t>
      </w:r>
    </w:p>
    <w:p w:rsidR="008F14F7" w:rsidRPr="00637448" w:rsidRDefault="008F14F7" w:rsidP="003564B7">
      <w:pPr>
        <w:tabs>
          <w:tab w:val="left" w:pos="360"/>
        </w:tabs>
        <w:spacing w:before="0" w:line="480" w:lineRule="auto"/>
        <w:rPr>
          <w:szCs w:val="24"/>
        </w:rPr>
      </w:pPr>
    </w:p>
    <w:p w:rsidR="0024250B" w:rsidRPr="00637448" w:rsidRDefault="0024250B" w:rsidP="003564B7">
      <w:pPr>
        <w:tabs>
          <w:tab w:val="left" w:pos="360"/>
        </w:tabs>
        <w:spacing w:before="0" w:line="480" w:lineRule="auto"/>
        <w:rPr>
          <w:b/>
          <w:szCs w:val="24"/>
          <w:highlight w:val="yellow"/>
          <w:u w:val="single"/>
        </w:rPr>
      </w:pPr>
    </w:p>
    <w:sectPr w:rsidR="0024250B" w:rsidRPr="00637448" w:rsidSect="003564B7">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5D" w:rsidRDefault="001A795D" w:rsidP="00557872">
      <w:pPr>
        <w:spacing w:before="0" w:line="240" w:lineRule="auto"/>
      </w:pPr>
      <w:r>
        <w:separator/>
      </w:r>
    </w:p>
  </w:endnote>
  <w:endnote w:type="continuationSeparator" w:id="0">
    <w:p w:rsidR="001A795D" w:rsidRDefault="001A795D" w:rsidP="005578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5D" w:rsidRDefault="001A795D" w:rsidP="00557872">
      <w:pPr>
        <w:spacing w:before="0" w:line="240" w:lineRule="auto"/>
      </w:pPr>
      <w:r>
        <w:separator/>
      </w:r>
    </w:p>
  </w:footnote>
  <w:footnote w:type="continuationSeparator" w:id="0">
    <w:p w:rsidR="001A795D" w:rsidRDefault="001A795D" w:rsidP="0055787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1D8A"/>
    <w:multiLevelType w:val="hybridMultilevel"/>
    <w:tmpl w:val="AC42F3D0"/>
    <w:lvl w:ilvl="0" w:tplc="23CE0D3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34CB1"/>
    <w:multiLevelType w:val="hybridMultilevel"/>
    <w:tmpl w:val="5F3E5ED2"/>
    <w:lvl w:ilvl="0" w:tplc="695EB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55397"/>
    <w:multiLevelType w:val="hybridMultilevel"/>
    <w:tmpl w:val="0F66FE18"/>
    <w:lvl w:ilvl="0" w:tplc="203852CE">
      <w:start w:val="1"/>
      <w:numFmt w:val="bullet"/>
      <w:pStyle w:val="ListBullet4"/>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
    <w:nsid w:val="148A1784"/>
    <w:multiLevelType w:val="hybridMultilevel"/>
    <w:tmpl w:val="B25861CA"/>
    <w:lvl w:ilvl="0" w:tplc="DC345842">
      <w:start w:val="1"/>
      <w:numFmt w:val="bullet"/>
      <w:pStyle w:val="ListBullet2"/>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1783412C"/>
    <w:multiLevelType w:val="hybridMultilevel"/>
    <w:tmpl w:val="70723D2C"/>
    <w:lvl w:ilvl="0" w:tplc="16C623F4">
      <w:start w:val="1"/>
      <w:numFmt w:val="bullet"/>
      <w:pStyle w:val="List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A3F20DA"/>
    <w:multiLevelType w:val="hybridMultilevel"/>
    <w:tmpl w:val="FDE257C6"/>
    <w:lvl w:ilvl="0" w:tplc="F26015D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6">
    <w:nsid w:val="2011623C"/>
    <w:multiLevelType w:val="hybridMultilevel"/>
    <w:tmpl w:val="A0A4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57718"/>
    <w:multiLevelType w:val="hybridMultilevel"/>
    <w:tmpl w:val="6C22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8567D"/>
    <w:multiLevelType w:val="hybridMultilevel"/>
    <w:tmpl w:val="8E98F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6D86C52"/>
    <w:multiLevelType w:val="multilevel"/>
    <w:tmpl w:val="CFEC13FC"/>
    <w:lvl w:ilvl="0">
      <w:start w:val="1"/>
      <w:numFmt w:val="decimal"/>
      <w:pStyle w:val="chapternum"/>
      <w:isLgl/>
      <w:suff w:val="space"/>
      <w:lvlText w:val="Chapter %1"/>
      <w:lvlJc w:val="left"/>
      <w:rPr>
        <w:rFonts w:ascii="Arial" w:hAnsi="Arial" w:cs="Arial" w:hint="default"/>
        <w:b w:val="0"/>
        <w:bCs w:val="0"/>
        <w:i w:val="0"/>
        <w:iCs w:val="0"/>
        <w:caps w:val="0"/>
        <w:smallCaps w:val="0"/>
        <w:strike w:val="0"/>
        <w:dstrike w:val="0"/>
        <w:noProof w:val="0"/>
        <w:vanish w:val="0"/>
        <w:color w:val="000000"/>
        <w:spacing w:val="0"/>
        <w:kern w:val="0"/>
        <w:position w:val="0"/>
        <w:sz w:val="32"/>
        <w:szCs w:val="32"/>
        <w:u w:val="none"/>
        <w:vertAlign w:val="baseline"/>
        <w:em w:val="no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F7B3432"/>
    <w:multiLevelType w:val="multilevel"/>
    <w:tmpl w:val="D9D69326"/>
    <w:lvl w:ilvl="0">
      <w:start w:val="1"/>
      <w:numFmt w:val="decimal"/>
      <w:pStyle w:val="Heading1"/>
      <w:lvlText w:val="%1"/>
      <w:lvlJc w:val="left"/>
      <w:pPr>
        <w:tabs>
          <w:tab w:val="num" w:pos="-2700"/>
        </w:tabs>
        <w:ind w:left="-2700" w:hanging="720"/>
      </w:pPr>
      <w:rPr>
        <w:rFonts w:ascii="Arial" w:hAnsi="Arial" w:cs="Times New Roman" w:hint="default"/>
        <w:b w:val="0"/>
        <w:bCs w:val="0"/>
        <w:i w:val="0"/>
        <w:iCs w:val="0"/>
        <w:caps w:val="0"/>
        <w:smallCaps w:val="0"/>
        <w:strike w:val="0"/>
        <w:dstrike w:val="0"/>
        <w:vanish w:val="0"/>
        <w:color w:val="000000"/>
        <w:spacing w:val="0"/>
        <w:kern w:val="0"/>
        <w:position w:val="0"/>
        <w:sz w:val="36"/>
        <w:szCs w:val="36"/>
        <w:u w:val="none"/>
        <w:vertAlign w:val="baseline"/>
      </w:rPr>
    </w:lvl>
    <w:lvl w:ilvl="1">
      <w:start w:val="1"/>
      <w:numFmt w:val="decimal"/>
      <w:pStyle w:val="Heading2"/>
      <w:lvlText w:val="%1.%2"/>
      <w:lvlJc w:val="left"/>
      <w:pPr>
        <w:tabs>
          <w:tab w:val="num" w:pos="1712"/>
        </w:tabs>
        <w:ind w:left="1712" w:hanging="720"/>
      </w:pPr>
      <w:rPr>
        <w:rFonts w:ascii="Arial" w:hAnsi="Arial" w:cs="Times New Roman" w:hint="default"/>
        <w:b w:val="0"/>
        <w:i w:val="0"/>
        <w:sz w:val="32"/>
        <w:szCs w:val="32"/>
      </w:rPr>
    </w:lvl>
    <w:lvl w:ilvl="2">
      <w:start w:val="1"/>
      <w:numFmt w:val="decimal"/>
      <w:pStyle w:val="Heading3"/>
      <w:lvlText w:val="%1.%2.%3"/>
      <w:lvlJc w:val="left"/>
      <w:pPr>
        <w:tabs>
          <w:tab w:val="num" w:pos="-2700"/>
        </w:tabs>
        <w:ind w:left="-2700" w:hanging="720"/>
      </w:pPr>
      <w:rPr>
        <w:rFonts w:ascii="Arial" w:hAnsi="Arial" w:cs="Times New Roman" w:hint="default"/>
        <w:b w:val="0"/>
        <w:i w:val="0"/>
        <w:sz w:val="28"/>
        <w:szCs w:val="28"/>
      </w:rPr>
    </w:lvl>
    <w:lvl w:ilvl="3">
      <w:start w:val="1"/>
      <w:numFmt w:val="decimal"/>
      <w:pStyle w:val="Heading4"/>
      <w:lvlText w:val="%1.%2.%3.%4"/>
      <w:lvlJc w:val="left"/>
      <w:pPr>
        <w:tabs>
          <w:tab w:val="num" w:pos="-1980"/>
        </w:tabs>
        <w:ind w:left="-1980" w:hanging="1080"/>
      </w:pPr>
      <w:rPr>
        <w:rFonts w:ascii="Arial" w:hAnsi="Arial" w:cs="Times New Roman" w:hint="default"/>
        <w:b w:val="0"/>
        <w:i w:val="0"/>
        <w:sz w:val="28"/>
        <w:szCs w:val="28"/>
      </w:rPr>
    </w:lvl>
    <w:lvl w:ilvl="4">
      <w:start w:val="1"/>
      <w:numFmt w:val="decimal"/>
      <w:pStyle w:val="Heading5"/>
      <w:lvlText w:val="%1.%2.%3.%4.%5"/>
      <w:lvlJc w:val="left"/>
      <w:pPr>
        <w:tabs>
          <w:tab w:val="num" w:pos="180"/>
        </w:tabs>
        <w:ind w:left="180" w:hanging="1080"/>
      </w:pPr>
      <w:rPr>
        <w:rFonts w:cs="Times New Roman" w:hint="default"/>
      </w:rPr>
    </w:lvl>
    <w:lvl w:ilvl="5">
      <w:start w:val="1"/>
      <w:numFmt w:val="decimal"/>
      <w:pStyle w:val="Heading6"/>
      <w:lvlText w:val="%1.%2.%3.%4.%5.%6"/>
      <w:lvlJc w:val="left"/>
      <w:pPr>
        <w:tabs>
          <w:tab w:val="num" w:pos="540"/>
        </w:tabs>
        <w:ind w:left="396"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lvl w:ilvl="6">
      <w:start w:val="1"/>
      <w:numFmt w:val="decimal"/>
      <w:pStyle w:val="Heading7"/>
      <w:lvlText w:val="%1.%2.%3.%4.%5.%6.%7"/>
      <w:lvlJc w:val="left"/>
      <w:pPr>
        <w:tabs>
          <w:tab w:val="num" w:pos="1260"/>
        </w:tabs>
        <w:ind w:left="900" w:hanging="1080"/>
      </w:pPr>
      <w:rPr>
        <w:rFonts w:cs="Times New Roman" w:hint="default"/>
      </w:rPr>
    </w:lvl>
    <w:lvl w:ilvl="7">
      <w:start w:val="1"/>
      <w:numFmt w:val="decimal"/>
      <w:pStyle w:val="Heading8"/>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8">
      <w:start w:val="1"/>
      <w:numFmt w:val="decimal"/>
      <w:pStyle w:val="Heading9"/>
      <w:lvlText w:val="%1.%2.%3.%4.%5.%6.%7.%8.%9"/>
      <w:lvlJc w:val="left"/>
      <w:pPr>
        <w:tabs>
          <w:tab w:val="num" w:pos="2340"/>
        </w:tabs>
        <w:ind w:left="1980" w:hanging="144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abstractNum>
  <w:abstractNum w:abstractNumId="11">
    <w:nsid w:val="32454FDE"/>
    <w:multiLevelType w:val="hybridMultilevel"/>
    <w:tmpl w:val="90F8DCD8"/>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12">
    <w:nsid w:val="33586DE4"/>
    <w:multiLevelType w:val="multilevel"/>
    <w:tmpl w:val="14F6A75A"/>
    <w:lvl w:ilvl="0">
      <w:start w:val="1"/>
      <w:numFmt w:val="decimal"/>
      <w:pStyle w:val="FigureCaption"/>
      <w:suff w:val="space"/>
      <w:lvlText w:val="Figure %1."/>
      <w:lvlJc w:val="left"/>
      <w:rPr>
        <w:rFonts w:ascii="Arial" w:hAnsi="Arial" w:cs="Times New Roman" w:hint="default"/>
        <w:b w:val="0"/>
        <w:i w:val="0"/>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5BE4DE9"/>
    <w:multiLevelType w:val="hybridMultilevel"/>
    <w:tmpl w:val="79B20B4A"/>
    <w:lvl w:ilvl="0" w:tplc="7E60CB88">
      <w:start w:val="1"/>
      <w:numFmt w:val="decimal"/>
      <w:pStyle w:val="List5"/>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77"/>
        </w:tabs>
        <w:ind w:left="2777" w:hanging="360"/>
      </w:pPr>
      <w:rPr>
        <w:rFonts w:cs="Times New Roman"/>
      </w:rPr>
    </w:lvl>
    <w:lvl w:ilvl="2" w:tplc="0409001B" w:tentative="1">
      <w:start w:val="1"/>
      <w:numFmt w:val="lowerRoman"/>
      <w:lvlText w:val="%3."/>
      <w:lvlJc w:val="right"/>
      <w:pPr>
        <w:tabs>
          <w:tab w:val="num" w:pos="3497"/>
        </w:tabs>
        <w:ind w:left="3497" w:hanging="180"/>
      </w:pPr>
      <w:rPr>
        <w:rFonts w:cs="Times New Roman"/>
      </w:rPr>
    </w:lvl>
    <w:lvl w:ilvl="3" w:tplc="0409000F" w:tentative="1">
      <w:start w:val="1"/>
      <w:numFmt w:val="decimal"/>
      <w:lvlText w:val="%4."/>
      <w:lvlJc w:val="left"/>
      <w:pPr>
        <w:tabs>
          <w:tab w:val="num" w:pos="4217"/>
        </w:tabs>
        <w:ind w:left="4217" w:hanging="360"/>
      </w:pPr>
      <w:rPr>
        <w:rFonts w:cs="Times New Roman"/>
      </w:rPr>
    </w:lvl>
    <w:lvl w:ilvl="4" w:tplc="04090019" w:tentative="1">
      <w:start w:val="1"/>
      <w:numFmt w:val="lowerLetter"/>
      <w:lvlText w:val="%5."/>
      <w:lvlJc w:val="left"/>
      <w:pPr>
        <w:tabs>
          <w:tab w:val="num" w:pos="4937"/>
        </w:tabs>
        <w:ind w:left="4937" w:hanging="360"/>
      </w:pPr>
      <w:rPr>
        <w:rFonts w:cs="Times New Roman"/>
      </w:rPr>
    </w:lvl>
    <w:lvl w:ilvl="5" w:tplc="0409001B" w:tentative="1">
      <w:start w:val="1"/>
      <w:numFmt w:val="lowerRoman"/>
      <w:lvlText w:val="%6."/>
      <w:lvlJc w:val="right"/>
      <w:pPr>
        <w:tabs>
          <w:tab w:val="num" w:pos="5657"/>
        </w:tabs>
        <w:ind w:left="5657" w:hanging="180"/>
      </w:pPr>
      <w:rPr>
        <w:rFonts w:cs="Times New Roman"/>
      </w:rPr>
    </w:lvl>
    <w:lvl w:ilvl="6" w:tplc="0409000F" w:tentative="1">
      <w:start w:val="1"/>
      <w:numFmt w:val="decimal"/>
      <w:lvlText w:val="%7."/>
      <w:lvlJc w:val="left"/>
      <w:pPr>
        <w:tabs>
          <w:tab w:val="num" w:pos="6377"/>
        </w:tabs>
        <w:ind w:left="6377" w:hanging="360"/>
      </w:pPr>
      <w:rPr>
        <w:rFonts w:cs="Times New Roman"/>
      </w:rPr>
    </w:lvl>
    <w:lvl w:ilvl="7" w:tplc="04090019" w:tentative="1">
      <w:start w:val="1"/>
      <w:numFmt w:val="lowerLetter"/>
      <w:lvlText w:val="%8."/>
      <w:lvlJc w:val="left"/>
      <w:pPr>
        <w:tabs>
          <w:tab w:val="num" w:pos="7097"/>
        </w:tabs>
        <w:ind w:left="7097" w:hanging="360"/>
      </w:pPr>
      <w:rPr>
        <w:rFonts w:cs="Times New Roman"/>
      </w:rPr>
    </w:lvl>
    <w:lvl w:ilvl="8" w:tplc="0409001B" w:tentative="1">
      <w:start w:val="1"/>
      <w:numFmt w:val="lowerRoman"/>
      <w:lvlText w:val="%9."/>
      <w:lvlJc w:val="right"/>
      <w:pPr>
        <w:tabs>
          <w:tab w:val="num" w:pos="7817"/>
        </w:tabs>
        <w:ind w:left="7817" w:hanging="180"/>
      </w:pPr>
      <w:rPr>
        <w:rFonts w:cs="Times New Roman"/>
      </w:rPr>
    </w:lvl>
  </w:abstractNum>
  <w:abstractNum w:abstractNumId="14">
    <w:nsid w:val="7164564F"/>
    <w:multiLevelType w:val="hybridMultilevel"/>
    <w:tmpl w:val="15CCB4E4"/>
    <w:lvl w:ilvl="0" w:tplc="1FB270E6">
      <w:start w:val="1"/>
      <w:numFmt w:val="decimal"/>
      <w:pStyle w:val="List2"/>
      <w:lvlText w:val="%1."/>
      <w:lvlJc w:val="left"/>
      <w:pPr>
        <w:tabs>
          <w:tab w:val="num" w:pos="931"/>
        </w:tabs>
        <w:ind w:left="931"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5">
    <w:nsid w:val="73740059"/>
    <w:multiLevelType w:val="multilevel"/>
    <w:tmpl w:val="888CC8FC"/>
    <w:lvl w:ilvl="0">
      <w:start w:val="1"/>
      <w:numFmt w:val="decimal"/>
      <w:pStyle w:val="List3"/>
      <w:lvlText w:val="%1."/>
      <w:lvlJc w:val="left"/>
      <w:pPr>
        <w:tabs>
          <w:tab w:val="num" w:pos="1291"/>
        </w:tabs>
        <w:ind w:left="1291" w:hanging="3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lvlText w:val="%1.%2"/>
      <w:lvlJc w:val="left"/>
      <w:pPr>
        <w:tabs>
          <w:tab w:val="num" w:pos="1651"/>
        </w:tabs>
        <w:ind w:left="1651" w:hanging="720"/>
      </w:pPr>
      <w:rPr>
        <w:rFonts w:ascii="Times New Roman" w:hAnsi="Times New Roman" w:cs="Times New Roman" w:hint="default"/>
        <w:b w:val="0"/>
        <w:i w:val="0"/>
        <w:sz w:val="24"/>
        <w:szCs w:val="24"/>
      </w:rPr>
    </w:lvl>
    <w:lvl w:ilvl="2">
      <w:start w:val="1"/>
      <w:numFmt w:val="decimal"/>
      <w:lvlText w:val="%1.%2.%3"/>
      <w:lvlJc w:val="left"/>
      <w:pPr>
        <w:tabs>
          <w:tab w:val="num" w:pos="1651"/>
        </w:tabs>
        <w:ind w:left="1651" w:hanging="720"/>
      </w:pPr>
      <w:rPr>
        <w:rFonts w:ascii="Arial" w:hAnsi="Arial" w:cs="Times New Roman" w:hint="default"/>
        <w:b w:val="0"/>
        <w:i w:val="0"/>
        <w:sz w:val="28"/>
        <w:szCs w:val="28"/>
      </w:rPr>
    </w:lvl>
    <w:lvl w:ilvl="3">
      <w:start w:val="1"/>
      <w:numFmt w:val="decimal"/>
      <w:lvlText w:val="%1.%2.%3.%4"/>
      <w:lvlJc w:val="left"/>
      <w:pPr>
        <w:tabs>
          <w:tab w:val="num" w:pos="2371"/>
        </w:tabs>
        <w:ind w:left="2371" w:hanging="1080"/>
      </w:pPr>
      <w:rPr>
        <w:rFonts w:ascii="Arial" w:hAnsi="Arial" w:cs="Times New Roman" w:hint="default"/>
        <w:b w:val="0"/>
        <w:i w:val="0"/>
        <w:sz w:val="28"/>
        <w:szCs w:val="28"/>
      </w:rPr>
    </w:lvl>
    <w:lvl w:ilvl="4">
      <w:start w:val="1"/>
      <w:numFmt w:val="decimal"/>
      <w:lvlText w:val="%1.%2.%3.%4.%5"/>
      <w:lvlJc w:val="left"/>
      <w:pPr>
        <w:tabs>
          <w:tab w:val="num" w:pos="4531"/>
        </w:tabs>
        <w:ind w:left="4531" w:hanging="1080"/>
      </w:pPr>
      <w:rPr>
        <w:rFonts w:cs="Times New Roman" w:hint="default"/>
      </w:rPr>
    </w:lvl>
    <w:lvl w:ilvl="5">
      <w:start w:val="1"/>
      <w:numFmt w:val="decimal"/>
      <w:lvlText w:val="%1.%2.%3.%4.%5.%6"/>
      <w:lvlJc w:val="left"/>
      <w:pPr>
        <w:tabs>
          <w:tab w:val="num" w:pos="4891"/>
        </w:tabs>
        <w:ind w:left="4747"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lvl w:ilvl="6">
      <w:start w:val="1"/>
      <w:numFmt w:val="decimal"/>
      <w:lvlText w:val="%1.%2.%3.%4.%5.%6.%7"/>
      <w:lvlJc w:val="left"/>
      <w:pPr>
        <w:tabs>
          <w:tab w:val="num" w:pos="5611"/>
        </w:tabs>
        <w:ind w:left="5251" w:hanging="1080"/>
      </w:pPr>
      <w:rPr>
        <w:rFonts w:cs="Times New Roman" w:hint="default"/>
      </w:rPr>
    </w:lvl>
    <w:lvl w:ilvl="7">
      <w:start w:val="1"/>
      <w:numFmt w:val="decimal"/>
      <w:lvlText w:val="%1.%2.%3.%4.%5.%6.%7.%8"/>
      <w:lvlJc w:val="left"/>
      <w:pPr>
        <w:tabs>
          <w:tab w:val="num" w:pos="5971"/>
        </w:tabs>
        <w:ind w:left="5755" w:hanging="1224"/>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lvl w:ilvl="8">
      <w:start w:val="1"/>
      <w:numFmt w:val="decimal"/>
      <w:lvlText w:val="%1.%2.%3.%4.%5.%6.%7.%8.%9"/>
      <w:lvlJc w:val="left"/>
      <w:pPr>
        <w:tabs>
          <w:tab w:val="num" w:pos="6691"/>
        </w:tabs>
        <w:ind w:left="6331" w:hanging="1440"/>
      </w:pPr>
      <w:rPr>
        <w:rFonts w:ascii="Arial" w:hAnsi="Arial" w:cs="Times New Roman" w:hint="default"/>
        <w:b w:val="0"/>
        <w:bCs w:val="0"/>
        <w:i w:val="0"/>
        <w:iCs w:val="0"/>
        <w:caps w:val="0"/>
        <w:strike w:val="0"/>
        <w:dstrike w:val="0"/>
        <w:vanish w:val="0"/>
        <w:color w:val="000000"/>
        <w:spacing w:val="0"/>
        <w:kern w:val="0"/>
        <w:position w:val="0"/>
        <w:sz w:val="28"/>
        <w:szCs w:val="28"/>
        <w:u w:val="none"/>
        <w:vertAlign w:val="baseline"/>
      </w:rPr>
    </w:lvl>
  </w:abstractNum>
  <w:abstractNum w:abstractNumId="16">
    <w:nsid w:val="7865055A"/>
    <w:multiLevelType w:val="hybridMultilevel"/>
    <w:tmpl w:val="93828888"/>
    <w:lvl w:ilvl="0" w:tplc="4166734A">
      <w:start w:val="1"/>
      <w:numFmt w:val="decimal"/>
      <w:pStyle w:val="List"/>
      <w:lvlText w:val="%1."/>
      <w:lvlJc w:val="left"/>
      <w:pPr>
        <w:tabs>
          <w:tab w:val="num" w:pos="1291"/>
        </w:tabs>
        <w:ind w:left="129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BA714D4"/>
    <w:multiLevelType w:val="hybridMultilevel"/>
    <w:tmpl w:val="890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A62CF2"/>
    <w:multiLevelType w:val="hybridMultilevel"/>
    <w:tmpl w:val="E06ACF7E"/>
    <w:lvl w:ilvl="0" w:tplc="D20A5836">
      <w:start w:val="1"/>
      <w:numFmt w:val="decimal"/>
      <w:pStyle w:val="List4"/>
      <w:lvlText w:val="%1."/>
      <w:lvlJc w:val="left"/>
      <w:pPr>
        <w:tabs>
          <w:tab w:val="num" w:pos="1651"/>
        </w:tabs>
        <w:ind w:left="1651"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num w:numId="1">
    <w:abstractNumId w:val="12"/>
  </w:num>
  <w:num w:numId="2">
    <w:abstractNumId w:val="10"/>
  </w:num>
  <w:num w:numId="3">
    <w:abstractNumId w:val="3"/>
  </w:num>
  <w:num w:numId="4">
    <w:abstractNumId w:val="4"/>
  </w:num>
  <w:num w:numId="5">
    <w:abstractNumId w:val="2"/>
  </w:num>
  <w:num w:numId="6">
    <w:abstractNumId w:val="5"/>
  </w:num>
  <w:num w:numId="7">
    <w:abstractNumId w:val="14"/>
  </w:num>
  <w:num w:numId="8">
    <w:abstractNumId w:val="15"/>
  </w:num>
  <w:num w:numId="9">
    <w:abstractNumId w:val="18"/>
  </w:num>
  <w:num w:numId="10">
    <w:abstractNumId w:val="13"/>
  </w:num>
  <w:num w:numId="11">
    <w:abstractNumId w:val="16"/>
  </w:num>
  <w:num w:numId="12">
    <w:abstractNumId w:val="0"/>
  </w:num>
  <w:num w:numId="13">
    <w:abstractNumId w:val="9"/>
  </w:num>
  <w:num w:numId="14">
    <w:abstractNumId w:val="1"/>
  </w:num>
  <w:num w:numId="15">
    <w:abstractNumId w:val="17"/>
  </w:num>
  <w:num w:numId="16">
    <w:abstractNumId w:val="6"/>
  </w:num>
  <w:num w:numId="17">
    <w:abstractNumId w:val="7"/>
  </w:num>
  <w:num w:numId="18">
    <w:abstractNumId w:val="11"/>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DC"/>
    <w:rsid w:val="00001026"/>
    <w:rsid w:val="00002729"/>
    <w:rsid w:val="000061D1"/>
    <w:rsid w:val="00007742"/>
    <w:rsid w:val="00007936"/>
    <w:rsid w:val="00007F2F"/>
    <w:rsid w:val="0001213F"/>
    <w:rsid w:val="00015189"/>
    <w:rsid w:val="00015D95"/>
    <w:rsid w:val="0002076E"/>
    <w:rsid w:val="0002200E"/>
    <w:rsid w:val="00025BBD"/>
    <w:rsid w:val="0002611C"/>
    <w:rsid w:val="0002618D"/>
    <w:rsid w:val="00026562"/>
    <w:rsid w:val="00026CD0"/>
    <w:rsid w:val="00030E96"/>
    <w:rsid w:val="0003228F"/>
    <w:rsid w:val="00033D9E"/>
    <w:rsid w:val="000401B9"/>
    <w:rsid w:val="00042680"/>
    <w:rsid w:val="00052823"/>
    <w:rsid w:val="000548BE"/>
    <w:rsid w:val="00055503"/>
    <w:rsid w:val="00065438"/>
    <w:rsid w:val="00073505"/>
    <w:rsid w:val="000750B9"/>
    <w:rsid w:val="0008439B"/>
    <w:rsid w:val="0008457F"/>
    <w:rsid w:val="000856FC"/>
    <w:rsid w:val="00090E58"/>
    <w:rsid w:val="00094DB2"/>
    <w:rsid w:val="00095C54"/>
    <w:rsid w:val="000A3507"/>
    <w:rsid w:val="000A72B8"/>
    <w:rsid w:val="000B007D"/>
    <w:rsid w:val="000B05E5"/>
    <w:rsid w:val="000B2AA6"/>
    <w:rsid w:val="000D3FEA"/>
    <w:rsid w:val="000E1E7A"/>
    <w:rsid w:val="000E202B"/>
    <w:rsid w:val="000E5279"/>
    <w:rsid w:val="000E5BF8"/>
    <w:rsid w:val="000E7FEA"/>
    <w:rsid w:val="000F13E4"/>
    <w:rsid w:val="000F1C5C"/>
    <w:rsid w:val="000F2EDE"/>
    <w:rsid w:val="000F5E36"/>
    <w:rsid w:val="00101B23"/>
    <w:rsid w:val="00104702"/>
    <w:rsid w:val="0010599B"/>
    <w:rsid w:val="0010755B"/>
    <w:rsid w:val="00110F06"/>
    <w:rsid w:val="00111C4F"/>
    <w:rsid w:val="00114152"/>
    <w:rsid w:val="00122A06"/>
    <w:rsid w:val="00127189"/>
    <w:rsid w:val="001536E5"/>
    <w:rsid w:val="001541B8"/>
    <w:rsid w:val="001546E8"/>
    <w:rsid w:val="00155C59"/>
    <w:rsid w:val="00162A31"/>
    <w:rsid w:val="00162EE1"/>
    <w:rsid w:val="00162F15"/>
    <w:rsid w:val="00167EF6"/>
    <w:rsid w:val="0017065D"/>
    <w:rsid w:val="00172E29"/>
    <w:rsid w:val="0017711A"/>
    <w:rsid w:val="001850B9"/>
    <w:rsid w:val="00187857"/>
    <w:rsid w:val="00194A50"/>
    <w:rsid w:val="00195A9E"/>
    <w:rsid w:val="00196628"/>
    <w:rsid w:val="001A0589"/>
    <w:rsid w:val="001A2FF1"/>
    <w:rsid w:val="001A3204"/>
    <w:rsid w:val="001A6353"/>
    <w:rsid w:val="001A795D"/>
    <w:rsid w:val="001A7DAD"/>
    <w:rsid w:val="001B3642"/>
    <w:rsid w:val="001B377C"/>
    <w:rsid w:val="001B4B39"/>
    <w:rsid w:val="001C0DC1"/>
    <w:rsid w:val="001C216E"/>
    <w:rsid w:val="001C3E96"/>
    <w:rsid w:val="001D2161"/>
    <w:rsid w:val="001D6D40"/>
    <w:rsid w:val="001F185E"/>
    <w:rsid w:val="002102EA"/>
    <w:rsid w:val="00210E8E"/>
    <w:rsid w:val="00222DDB"/>
    <w:rsid w:val="0022528C"/>
    <w:rsid w:val="00230381"/>
    <w:rsid w:val="002322FC"/>
    <w:rsid w:val="002378F3"/>
    <w:rsid w:val="0024250B"/>
    <w:rsid w:val="00242AF9"/>
    <w:rsid w:val="00243A5C"/>
    <w:rsid w:val="00243A67"/>
    <w:rsid w:val="00244BE2"/>
    <w:rsid w:val="00247F22"/>
    <w:rsid w:val="002501DC"/>
    <w:rsid w:val="0025649D"/>
    <w:rsid w:val="00261D7F"/>
    <w:rsid w:val="00265292"/>
    <w:rsid w:val="00273C3C"/>
    <w:rsid w:val="002867F0"/>
    <w:rsid w:val="00287951"/>
    <w:rsid w:val="002913C3"/>
    <w:rsid w:val="002914A3"/>
    <w:rsid w:val="002A437E"/>
    <w:rsid w:val="002A4BAD"/>
    <w:rsid w:val="002B1BA0"/>
    <w:rsid w:val="002B30CD"/>
    <w:rsid w:val="002C3398"/>
    <w:rsid w:val="002D73CE"/>
    <w:rsid w:val="002E103A"/>
    <w:rsid w:val="002F418E"/>
    <w:rsid w:val="003039F3"/>
    <w:rsid w:val="00304538"/>
    <w:rsid w:val="003046D0"/>
    <w:rsid w:val="00307B47"/>
    <w:rsid w:val="0031088D"/>
    <w:rsid w:val="00310BF4"/>
    <w:rsid w:val="00310F61"/>
    <w:rsid w:val="0031389F"/>
    <w:rsid w:val="0031651E"/>
    <w:rsid w:val="00316B40"/>
    <w:rsid w:val="00330226"/>
    <w:rsid w:val="00340A49"/>
    <w:rsid w:val="00343D48"/>
    <w:rsid w:val="00354986"/>
    <w:rsid w:val="0035517C"/>
    <w:rsid w:val="003564B7"/>
    <w:rsid w:val="00360544"/>
    <w:rsid w:val="003607AF"/>
    <w:rsid w:val="00361DEC"/>
    <w:rsid w:val="0036210A"/>
    <w:rsid w:val="00365DE3"/>
    <w:rsid w:val="00372A85"/>
    <w:rsid w:val="0037365E"/>
    <w:rsid w:val="00373F7C"/>
    <w:rsid w:val="00375DC5"/>
    <w:rsid w:val="003771BF"/>
    <w:rsid w:val="003801AE"/>
    <w:rsid w:val="00381F06"/>
    <w:rsid w:val="00385095"/>
    <w:rsid w:val="003A4AB8"/>
    <w:rsid w:val="003A683D"/>
    <w:rsid w:val="003A73C9"/>
    <w:rsid w:val="003B0AE6"/>
    <w:rsid w:val="003B26E9"/>
    <w:rsid w:val="003B3EF3"/>
    <w:rsid w:val="003B40A2"/>
    <w:rsid w:val="003B44F3"/>
    <w:rsid w:val="003B46B4"/>
    <w:rsid w:val="003B5E57"/>
    <w:rsid w:val="003C7FEF"/>
    <w:rsid w:val="003D02E7"/>
    <w:rsid w:val="003D2B1A"/>
    <w:rsid w:val="003E06C3"/>
    <w:rsid w:val="003E2AB1"/>
    <w:rsid w:val="003F00B4"/>
    <w:rsid w:val="003F091F"/>
    <w:rsid w:val="003F0C9C"/>
    <w:rsid w:val="003F23DF"/>
    <w:rsid w:val="003F54FD"/>
    <w:rsid w:val="003F66BD"/>
    <w:rsid w:val="003F7A2B"/>
    <w:rsid w:val="0040281A"/>
    <w:rsid w:val="00402944"/>
    <w:rsid w:val="00403A1C"/>
    <w:rsid w:val="00405D96"/>
    <w:rsid w:val="00407F99"/>
    <w:rsid w:val="0041040B"/>
    <w:rsid w:val="00411E59"/>
    <w:rsid w:val="004147F4"/>
    <w:rsid w:val="00414A9A"/>
    <w:rsid w:val="00416CA8"/>
    <w:rsid w:val="0041797A"/>
    <w:rsid w:val="004221EC"/>
    <w:rsid w:val="00424C5B"/>
    <w:rsid w:val="0042568B"/>
    <w:rsid w:val="0042728F"/>
    <w:rsid w:val="00431B9F"/>
    <w:rsid w:val="004327BB"/>
    <w:rsid w:val="00433AEF"/>
    <w:rsid w:val="00434192"/>
    <w:rsid w:val="00436E22"/>
    <w:rsid w:val="004406B0"/>
    <w:rsid w:val="00441112"/>
    <w:rsid w:val="00453C15"/>
    <w:rsid w:val="00454AB7"/>
    <w:rsid w:val="00457194"/>
    <w:rsid w:val="00457332"/>
    <w:rsid w:val="00463AF1"/>
    <w:rsid w:val="00471C45"/>
    <w:rsid w:val="00472DD7"/>
    <w:rsid w:val="00475881"/>
    <w:rsid w:val="00482A7D"/>
    <w:rsid w:val="0048662E"/>
    <w:rsid w:val="004A14B2"/>
    <w:rsid w:val="004B2F50"/>
    <w:rsid w:val="004C38AF"/>
    <w:rsid w:val="004D09FC"/>
    <w:rsid w:val="004D0AC1"/>
    <w:rsid w:val="004D6A30"/>
    <w:rsid w:val="004D6E3A"/>
    <w:rsid w:val="004E45E7"/>
    <w:rsid w:val="004E684B"/>
    <w:rsid w:val="004E6E70"/>
    <w:rsid w:val="004E7F3F"/>
    <w:rsid w:val="004F3824"/>
    <w:rsid w:val="004F58CA"/>
    <w:rsid w:val="004F67A4"/>
    <w:rsid w:val="0050496D"/>
    <w:rsid w:val="0051278A"/>
    <w:rsid w:val="00512EE0"/>
    <w:rsid w:val="00513D9C"/>
    <w:rsid w:val="0051586E"/>
    <w:rsid w:val="005251CB"/>
    <w:rsid w:val="00526E57"/>
    <w:rsid w:val="00531EED"/>
    <w:rsid w:val="00537368"/>
    <w:rsid w:val="0053768A"/>
    <w:rsid w:val="00540BB2"/>
    <w:rsid w:val="005412F9"/>
    <w:rsid w:val="00555A0D"/>
    <w:rsid w:val="00557872"/>
    <w:rsid w:val="00563BED"/>
    <w:rsid w:val="005652B1"/>
    <w:rsid w:val="00567DE8"/>
    <w:rsid w:val="00570330"/>
    <w:rsid w:val="00574564"/>
    <w:rsid w:val="00576A3E"/>
    <w:rsid w:val="005777BF"/>
    <w:rsid w:val="0058603E"/>
    <w:rsid w:val="00593C7C"/>
    <w:rsid w:val="00597CDA"/>
    <w:rsid w:val="005A3907"/>
    <w:rsid w:val="005A657B"/>
    <w:rsid w:val="005A7731"/>
    <w:rsid w:val="005B3F35"/>
    <w:rsid w:val="005B51C5"/>
    <w:rsid w:val="005C0C15"/>
    <w:rsid w:val="005D566A"/>
    <w:rsid w:val="005D5BB5"/>
    <w:rsid w:val="005D6351"/>
    <w:rsid w:val="005E1B42"/>
    <w:rsid w:val="005E3EE9"/>
    <w:rsid w:val="005E65C2"/>
    <w:rsid w:val="005E6BC7"/>
    <w:rsid w:val="005E7F59"/>
    <w:rsid w:val="005F0A83"/>
    <w:rsid w:val="005F64FC"/>
    <w:rsid w:val="006009C6"/>
    <w:rsid w:val="00604CAC"/>
    <w:rsid w:val="00612A61"/>
    <w:rsid w:val="00613FF4"/>
    <w:rsid w:val="00614214"/>
    <w:rsid w:val="00621FBD"/>
    <w:rsid w:val="006266F6"/>
    <w:rsid w:val="00627A28"/>
    <w:rsid w:val="00636E6B"/>
    <w:rsid w:val="00637448"/>
    <w:rsid w:val="0064018F"/>
    <w:rsid w:val="006455A5"/>
    <w:rsid w:val="00653D68"/>
    <w:rsid w:val="00680E7C"/>
    <w:rsid w:val="006825F8"/>
    <w:rsid w:val="00682D71"/>
    <w:rsid w:val="00683439"/>
    <w:rsid w:val="006839C5"/>
    <w:rsid w:val="00693546"/>
    <w:rsid w:val="00694300"/>
    <w:rsid w:val="00696968"/>
    <w:rsid w:val="006A1E3B"/>
    <w:rsid w:val="006B2FB8"/>
    <w:rsid w:val="006B6A7D"/>
    <w:rsid w:val="006C597C"/>
    <w:rsid w:val="006C604B"/>
    <w:rsid w:val="006D5040"/>
    <w:rsid w:val="006D5EF1"/>
    <w:rsid w:val="006D797F"/>
    <w:rsid w:val="006E2386"/>
    <w:rsid w:val="006E494A"/>
    <w:rsid w:val="006F44DC"/>
    <w:rsid w:val="00704915"/>
    <w:rsid w:val="00704CEB"/>
    <w:rsid w:val="00704F01"/>
    <w:rsid w:val="00710F35"/>
    <w:rsid w:val="007169EB"/>
    <w:rsid w:val="00716D22"/>
    <w:rsid w:val="00716ED3"/>
    <w:rsid w:val="007173C1"/>
    <w:rsid w:val="007223FB"/>
    <w:rsid w:val="00725E4E"/>
    <w:rsid w:val="0073207F"/>
    <w:rsid w:val="0073652C"/>
    <w:rsid w:val="00736EB2"/>
    <w:rsid w:val="0075674A"/>
    <w:rsid w:val="00757866"/>
    <w:rsid w:val="00757A3B"/>
    <w:rsid w:val="00765508"/>
    <w:rsid w:val="0076627A"/>
    <w:rsid w:val="007706B1"/>
    <w:rsid w:val="007716B4"/>
    <w:rsid w:val="007735B3"/>
    <w:rsid w:val="0077642F"/>
    <w:rsid w:val="0078720E"/>
    <w:rsid w:val="007901DC"/>
    <w:rsid w:val="007A14A7"/>
    <w:rsid w:val="007A24BD"/>
    <w:rsid w:val="007A2665"/>
    <w:rsid w:val="007A2B0A"/>
    <w:rsid w:val="007B1CED"/>
    <w:rsid w:val="007B53FC"/>
    <w:rsid w:val="007B7F23"/>
    <w:rsid w:val="007C1B1D"/>
    <w:rsid w:val="007C7304"/>
    <w:rsid w:val="007C79D6"/>
    <w:rsid w:val="007D09AE"/>
    <w:rsid w:val="007D0ADA"/>
    <w:rsid w:val="007D25B1"/>
    <w:rsid w:val="007D3528"/>
    <w:rsid w:val="007D3F22"/>
    <w:rsid w:val="007E49F2"/>
    <w:rsid w:val="007E78F6"/>
    <w:rsid w:val="007F1CD2"/>
    <w:rsid w:val="008052CB"/>
    <w:rsid w:val="0080663F"/>
    <w:rsid w:val="00811341"/>
    <w:rsid w:val="0081501F"/>
    <w:rsid w:val="0082117B"/>
    <w:rsid w:val="008305FF"/>
    <w:rsid w:val="0083310A"/>
    <w:rsid w:val="0083356E"/>
    <w:rsid w:val="00837A49"/>
    <w:rsid w:val="0084010B"/>
    <w:rsid w:val="008403F5"/>
    <w:rsid w:val="00845E75"/>
    <w:rsid w:val="00846DBD"/>
    <w:rsid w:val="008655F4"/>
    <w:rsid w:val="00871EF4"/>
    <w:rsid w:val="00881CC4"/>
    <w:rsid w:val="00881FAD"/>
    <w:rsid w:val="008830D0"/>
    <w:rsid w:val="00884056"/>
    <w:rsid w:val="00894662"/>
    <w:rsid w:val="0089738F"/>
    <w:rsid w:val="008A1ACC"/>
    <w:rsid w:val="008A46D6"/>
    <w:rsid w:val="008A6C4E"/>
    <w:rsid w:val="008B612B"/>
    <w:rsid w:val="008C051B"/>
    <w:rsid w:val="008C34E8"/>
    <w:rsid w:val="008C5085"/>
    <w:rsid w:val="008D1561"/>
    <w:rsid w:val="008E56DA"/>
    <w:rsid w:val="008F14F7"/>
    <w:rsid w:val="008F759B"/>
    <w:rsid w:val="00901639"/>
    <w:rsid w:val="00904512"/>
    <w:rsid w:val="0090637F"/>
    <w:rsid w:val="0090734D"/>
    <w:rsid w:val="009109A0"/>
    <w:rsid w:val="00911087"/>
    <w:rsid w:val="00911B6A"/>
    <w:rsid w:val="00911F95"/>
    <w:rsid w:val="009131B3"/>
    <w:rsid w:val="00921E88"/>
    <w:rsid w:val="00922D51"/>
    <w:rsid w:val="00924AB2"/>
    <w:rsid w:val="00933FD1"/>
    <w:rsid w:val="0093427E"/>
    <w:rsid w:val="00935249"/>
    <w:rsid w:val="00944B5F"/>
    <w:rsid w:val="009453A7"/>
    <w:rsid w:val="0095177B"/>
    <w:rsid w:val="00951E76"/>
    <w:rsid w:val="00955169"/>
    <w:rsid w:val="00957AFC"/>
    <w:rsid w:val="00964F05"/>
    <w:rsid w:val="0097397F"/>
    <w:rsid w:val="00974923"/>
    <w:rsid w:val="0099013A"/>
    <w:rsid w:val="00992C37"/>
    <w:rsid w:val="009A1584"/>
    <w:rsid w:val="009A66A4"/>
    <w:rsid w:val="009B3A4E"/>
    <w:rsid w:val="009B607E"/>
    <w:rsid w:val="009C0237"/>
    <w:rsid w:val="009D135C"/>
    <w:rsid w:val="009D1E11"/>
    <w:rsid w:val="009D4840"/>
    <w:rsid w:val="009E0681"/>
    <w:rsid w:val="009E5B3A"/>
    <w:rsid w:val="009E6290"/>
    <w:rsid w:val="009F4A8F"/>
    <w:rsid w:val="009F4DDB"/>
    <w:rsid w:val="00A1002D"/>
    <w:rsid w:val="00A101FE"/>
    <w:rsid w:val="00A133BD"/>
    <w:rsid w:val="00A13E42"/>
    <w:rsid w:val="00A15894"/>
    <w:rsid w:val="00A15D93"/>
    <w:rsid w:val="00A17892"/>
    <w:rsid w:val="00A26545"/>
    <w:rsid w:val="00A27389"/>
    <w:rsid w:val="00A27FAD"/>
    <w:rsid w:val="00A30B33"/>
    <w:rsid w:val="00A321F2"/>
    <w:rsid w:val="00A3528F"/>
    <w:rsid w:val="00A370B3"/>
    <w:rsid w:val="00A372ED"/>
    <w:rsid w:val="00A374CC"/>
    <w:rsid w:val="00A37B39"/>
    <w:rsid w:val="00A534FE"/>
    <w:rsid w:val="00A5559E"/>
    <w:rsid w:val="00A5634B"/>
    <w:rsid w:val="00A71AD6"/>
    <w:rsid w:val="00A72DC6"/>
    <w:rsid w:val="00A81AF9"/>
    <w:rsid w:val="00A84A7C"/>
    <w:rsid w:val="00A87D72"/>
    <w:rsid w:val="00A907F1"/>
    <w:rsid w:val="00A90EA9"/>
    <w:rsid w:val="00A92CD6"/>
    <w:rsid w:val="00A939A8"/>
    <w:rsid w:val="00AA5B13"/>
    <w:rsid w:val="00AB0B6F"/>
    <w:rsid w:val="00AB3A60"/>
    <w:rsid w:val="00AB4CD5"/>
    <w:rsid w:val="00AB6D0B"/>
    <w:rsid w:val="00AB6DF6"/>
    <w:rsid w:val="00AC14CF"/>
    <w:rsid w:val="00AC50B9"/>
    <w:rsid w:val="00AC5AEB"/>
    <w:rsid w:val="00AD5FC1"/>
    <w:rsid w:val="00AD6D73"/>
    <w:rsid w:val="00AE25D2"/>
    <w:rsid w:val="00AE532C"/>
    <w:rsid w:val="00AF2553"/>
    <w:rsid w:val="00AF3673"/>
    <w:rsid w:val="00AF5931"/>
    <w:rsid w:val="00B0603D"/>
    <w:rsid w:val="00B1679E"/>
    <w:rsid w:val="00B2189F"/>
    <w:rsid w:val="00B22924"/>
    <w:rsid w:val="00B23933"/>
    <w:rsid w:val="00B30EC8"/>
    <w:rsid w:val="00B32CB8"/>
    <w:rsid w:val="00B3485C"/>
    <w:rsid w:val="00B35CF4"/>
    <w:rsid w:val="00B40E20"/>
    <w:rsid w:val="00B45DCA"/>
    <w:rsid w:val="00B529FA"/>
    <w:rsid w:val="00B5411B"/>
    <w:rsid w:val="00B55C9E"/>
    <w:rsid w:val="00B57F4A"/>
    <w:rsid w:val="00B61232"/>
    <w:rsid w:val="00B62798"/>
    <w:rsid w:val="00B6410B"/>
    <w:rsid w:val="00B6612B"/>
    <w:rsid w:val="00B66608"/>
    <w:rsid w:val="00B72199"/>
    <w:rsid w:val="00B74767"/>
    <w:rsid w:val="00B76115"/>
    <w:rsid w:val="00B823EE"/>
    <w:rsid w:val="00B83BD6"/>
    <w:rsid w:val="00B851BB"/>
    <w:rsid w:val="00B920AE"/>
    <w:rsid w:val="00B94BC5"/>
    <w:rsid w:val="00B94DB7"/>
    <w:rsid w:val="00B956A6"/>
    <w:rsid w:val="00B96435"/>
    <w:rsid w:val="00BB180A"/>
    <w:rsid w:val="00BB39B7"/>
    <w:rsid w:val="00BB42D2"/>
    <w:rsid w:val="00BC0BC1"/>
    <w:rsid w:val="00BC1C4F"/>
    <w:rsid w:val="00BC6789"/>
    <w:rsid w:val="00BD35AC"/>
    <w:rsid w:val="00BE0CF4"/>
    <w:rsid w:val="00BE19E5"/>
    <w:rsid w:val="00BE29EF"/>
    <w:rsid w:val="00BE4F95"/>
    <w:rsid w:val="00BE5150"/>
    <w:rsid w:val="00BE6A19"/>
    <w:rsid w:val="00BF4768"/>
    <w:rsid w:val="00BF7A4A"/>
    <w:rsid w:val="00C01182"/>
    <w:rsid w:val="00C017FE"/>
    <w:rsid w:val="00C07787"/>
    <w:rsid w:val="00C106EC"/>
    <w:rsid w:val="00C13D62"/>
    <w:rsid w:val="00C14C80"/>
    <w:rsid w:val="00C16D7A"/>
    <w:rsid w:val="00C20045"/>
    <w:rsid w:val="00C20094"/>
    <w:rsid w:val="00C2390D"/>
    <w:rsid w:val="00C32EDF"/>
    <w:rsid w:val="00C349CD"/>
    <w:rsid w:val="00C35743"/>
    <w:rsid w:val="00C40E2A"/>
    <w:rsid w:val="00C443C8"/>
    <w:rsid w:val="00C50F03"/>
    <w:rsid w:val="00C525D0"/>
    <w:rsid w:val="00C55A3E"/>
    <w:rsid w:val="00C576CB"/>
    <w:rsid w:val="00C669B7"/>
    <w:rsid w:val="00C709C8"/>
    <w:rsid w:val="00C73710"/>
    <w:rsid w:val="00C74D15"/>
    <w:rsid w:val="00C83134"/>
    <w:rsid w:val="00C83545"/>
    <w:rsid w:val="00C86F64"/>
    <w:rsid w:val="00CC37D4"/>
    <w:rsid w:val="00CC67D9"/>
    <w:rsid w:val="00CC6DEC"/>
    <w:rsid w:val="00CC76B1"/>
    <w:rsid w:val="00CD13D7"/>
    <w:rsid w:val="00CD2EA9"/>
    <w:rsid w:val="00CD7232"/>
    <w:rsid w:val="00CE2537"/>
    <w:rsid w:val="00CE3EE2"/>
    <w:rsid w:val="00CE42F9"/>
    <w:rsid w:val="00CF0677"/>
    <w:rsid w:val="00D04221"/>
    <w:rsid w:val="00D06985"/>
    <w:rsid w:val="00D10C42"/>
    <w:rsid w:val="00D13CAE"/>
    <w:rsid w:val="00D15E5E"/>
    <w:rsid w:val="00D1614D"/>
    <w:rsid w:val="00D220BC"/>
    <w:rsid w:val="00D23185"/>
    <w:rsid w:val="00D36698"/>
    <w:rsid w:val="00D44488"/>
    <w:rsid w:val="00D45EA6"/>
    <w:rsid w:val="00D50042"/>
    <w:rsid w:val="00D62F92"/>
    <w:rsid w:val="00D66E3B"/>
    <w:rsid w:val="00D70350"/>
    <w:rsid w:val="00D727A7"/>
    <w:rsid w:val="00D762C1"/>
    <w:rsid w:val="00D82E07"/>
    <w:rsid w:val="00D8331E"/>
    <w:rsid w:val="00D935ED"/>
    <w:rsid w:val="00DA00EE"/>
    <w:rsid w:val="00DA3066"/>
    <w:rsid w:val="00DA3EB3"/>
    <w:rsid w:val="00DA48CA"/>
    <w:rsid w:val="00DA4DBD"/>
    <w:rsid w:val="00DB00DC"/>
    <w:rsid w:val="00DB385B"/>
    <w:rsid w:val="00DC0673"/>
    <w:rsid w:val="00DC7103"/>
    <w:rsid w:val="00DD2E2E"/>
    <w:rsid w:val="00DD51C3"/>
    <w:rsid w:val="00DD7260"/>
    <w:rsid w:val="00DE2C5A"/>
    <w:rsid w:val="00DE30B6"/>
    <w:rsid w:val="00DE51A2"/>
    <w:rsid w:val="00DF07CF"/>
    <w:rsid w:val="00DF668F"/>
    <w:rsid w:val="00DF709E"/>
    <w:rsid w:val="00E01668"/>
    <w:rsid w:val="00E07FA1"/>
    <w:rsid w:val="00E10079"/>
    <w:rsid w:val="00E1454D"/>
    <w:rsid w:val="00E14BEA"/>
    <w:rsid w:val="00E2223F"/>
    <w:rsid w:val="00E241E8"/>
    <w:rsid w:val="00E26E91"/>
    <w:rsid w:val="00E27218"/>
    <w:rsid w:val="00E31214"/>
    <w:rsid w:val="00E356C3"/>
    <w:rsid w:val="00E437EA"/>
    <w:rsid w:val="00E5623A"/>
    <w:rsid w:val="00E60CEA"/>
    <w:rsid w:val="00E64586"/>
    <w:rsid w:val="00E6562E"/>
    <w:rsid w:val="00E708EE"/>
    <w:rsid w:val="00E71DB5"/>
    <w:rsid w:val="00E73756"/>
    <w:rsid w:val="00E75CB2"/>
    <w:rsid w:val="00E822B0"/>
    <w:rsid w:val="00E904C3"/>
    <w:rsid w:val="00E92908"/>
    <w:rsid w:val="00E95AE6"/>
    <w:rsid w:val="00EA1CC5"/>
    <w:rsid w:val="00EA3D7E"/>
    <w:rsid w:val="00EA56BE"/>
    <w:rsid w:val="00EB3C9F"/>
    <w:rsid w:val="00EC2D80"/>
    <w:rsid w:val="00EC4BF1"/>
    <w:rsid w:val="00EC619F"/>
    <w:rsid w:val="00ED7177"/>
    <w:rsid w:val="00ED7385"/>
    <w:rsid w:val="00EE27EA"/>
    <w:rsid w:val="00EE7A0C"/>
    <w:rsid w:val="00EF4CFF"/>
    <w:rsid w:val="00EF622C"/>
    <w:rsid w:val="00F01EA2"/>
    <w:rsid w:val="00F01FDA"/>
    <w:rsid w:val="00F04172"/>
    <w:rsid w:val="00F10866"/>
    <w:rsid w:val="00F10BB3"/>
    <w:rsid w:val="00F158AE"/>
    <w:rsid w:val="00F17DB9"/>
    <w:rsid w:val="00F26D3C"/>
    <w:rsid w:val="00F30B53"/>
    <w:rsid w:val="00F341D9"/>
    <w:rsid w:val="00F4041B"/>
    <w:rsid w:val="00F415FA"/>
    <w:rsid w:val="00F41DC8"/>
    <w:rsid w:val="00F422DF"/>
    <w:rsid w:val="00F47A0F"/>
    <w:rsid w:val="00F553F1"/>
    <w:rsid w:val="00F60768"/>
    <w:rsid w:val="00F663E8"/>
    <w:rsid w:val="00F701B4"/>
    <w:rsid w:val="00F70A96"/>
    <w:rsid w:val="00F74B37"/>
    <w:rsid w:val="00F82D0B"/>
    <w:rsid w:val="00F834DC"/>
    <w:rsid w:val="00F834FD"/>
    <w:rsid w:val="00F86F0E"/>
    <w:rsid w:val="00F919DE"/>
    <w:rsid w:val="00F9219A"/>
    <w:rsid w:val="00F923B8"/>
    <w:rsid w:val="00F92FFF"/>
    <w:rsid w:val="00F93372"/>
    <w:rsid w:val="00FA02AD"/>
    <w:rsid w:val="00FA2680"/>
    <w:rsid w:val="00FB1CF4"/>
    <w:rsid w:val="00FB3201"/>
    <w:rsid w:val="00FB3430"/>
    <w:rsid w:val="00FB4827"/>
    <w:rsid w:val="00FB71A8"/>
    <w:rsid w:val="00FC1580"/>
    <w:rsid w:val="00FC15CE"/>
    <w:rsid w:val="00FD11B5"/>
    <w:rsid w:val="00FD2171"/>
    <w:rsid w:val="00FD491D"/>
    <w:rsid w:val="00FD6125"/>
    <w:rsid w:val="00FE3452"/>
    <w:rsid w:val="00FE57B4"/>
    <w:rsid w:val="00FE7824"/>
    <w:rsid w:val="00FE7CE9"/>
    <w:rsid w:val="00FF07DE"/>
    <w:rsid w:val="00FF10E0"/>
    <w:rsid w:val="00FF25C9"/>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DC"/>
    <w:pPr>
      <w:spacing w:before="240" w:after="0" w:line="360" w:lineRule="auto"/>
    </w:pPr>
    <w:rPr>
      <w:rFonts w:ascii="Times New Roman" w:eastAsia="Times New Roman" w:hAnsi="Times New Roman" w:cs="Times New Roman"/>
      <w:sz w:val="24"/>
      <w:szCs w:val="20"/>
      <w:lang w:val="en-US" w:eastAsia="en-CA"/>
    </w:rPr>
  </w:style>
  <w:style w:type="paragraph" w:styleId="Heading1">
    <w:name w:val="heading 1"/>
    <w:basedOn w:val="Normal"/>
    <w:next w:val="BodyText"/>
    <w:link w:val="Heading1Char"/>
    <w:uiPriority w:val="9"/>
    <w:qFormat/>
    <w:rsid w:val="00F834DC"/>
    <w:pPr>
      <w:keepNext/>
      <w:numPr>
        <w:numId w:val="2"/>
      </w:numPr>
      <w:tabs>
        <w:tab w:val="clear" w:pos="-2700"/>
        <w:tab w:val="left" w:pos="720"/>
      </w:tabs>
      <w:spacing w:after="120" w:line="240" w:lineRule="auto"/>
      <w:ind w:left="720"/>
      <w:outlineLvl w:val="0"/>
    </w:pPr>
    <w:rPr>
      <w:rFonts w:ascii="Arial" w:hAnsi="Arial" w:cs="Arial"/>
      <w:bCs/>
      <w:kern w:val="32"/>
      <w:sz w:val="32"/>
      <w:szCs w:val="36"/>
    </w:rPr>
  </w:style>
  <w:style w:type="paragraph" w:styleId="Heading2">
    <w:name w:val="heading 2"/>
    <w:basedOn w:val="Heading1"/>
    <w:next w:val="BodyText"/>
    <w:link w:val="Heading2Char"/>
    <w:uiPriority w:val="9"/>
    <w:qFormat/>
    <w:rsid w:val="00F834DC"/>
    <w:pPr>
      <w:numPr>
        <w:ilvl w:val="1"/>
      </w:numPr>
      <w:tabs>
        <w:tab w:val="num" w:pos="720"/>
      </w:tabs>
      <w:ind w:left="720" w:hanging="360"/>
      <w:outlineLvl w:val="1"/>
    </w:pPr>
    <w:rPr>
      <w:bCs w:val="0"/>
      <w:iCs/>
      <w:szCs w:val="28"/>
    </w:rPr>
  </w:style>
  <w:style w:type="paragraph" w:styleId="Heading3">
    <w:name w:val="heading 3"/>
    <w:basedOn w:val="Heading2"/>
    <w:next w:val="BodyText"/>
    <w:link w:val="Heading3Char"/>
    <w:uiPriority w:val="9"/>
    <w:qFormat/>
    <w:rsid w:val="00F834DC"/>
    <w:pPr>
      <w:numPr>
        <w:ilvl w:val="2"/>
      </w:numPr>
      <w:tabs>
        <w:tab w:val="clear" w:pos="-2700"/>
        <w:tab w:val="left" w:pos="1080"/>
      </w:tabs>
      <w:ind w:left="1080" w:hanging="1080"/>
      <w:outlineLvl w:val="2"/>
    </w:pPr>
    <w:rPr>
      <w:bCs/>
      <w:sz w:val="28"/>
    </w:rPr>
  </w:style>
  <w:style w:type="paragraph" w:styleId="Heading4">
    <w:name w:val="heading 4"/>
    <w:basedOn w:val="Heading3"/>
    <w:next w:val="BodyText"/>
    <w:link w:val="Heading4Char"/>
    <w:uiPriority w:val="9"/>
    <w:qFormat/>
    <w:rsid w:val="00F834DC"/>
    <w:pPr>
      <w:numPr>
        <w:ilvl w:val="3"/>
      </w:numPr>
      <w:tabs>
        <w:tab w:val="clear" w:pos="-1980"/>
        <w:tab w:val="clear" w:pos="1080"/>
        <w:tab w:val="num" w:pos="720"/>
        <w:tab w:val="left" w:pos="1260"/>
      </w:tabs>
      <w:ind w:left="1260" w:hanging="1260"/>
      <w:outlineLvl w:val="3"/>
    </w:pPr>
  </w:style>
  <w:style w:type="paragraph" w:styleId="Heading5">
    <w:name w:val="heading 5"/>
    <w:basedOn w:val="Heading4"/>
    <w:next w:val="Normal"/>
    <w:link w:val="Heading5Char"/>
    <w:uiPriority w:val="9"/>
    <w:qFormat/>
    <w:rsid w:val="00F834DC"/>
    <w:pPr>
      <w:numPr>
        <w:ilvl w:val="4"/>
      </w:numPr>
      <w:tabs>
        <w:tab w:val="clear" w:pos="180"/>
        <w:tab w:val="clear" w:pos="1260"/>
        <w:tab w:val="num" w:pos="720"/>
        <w:tab w:val="num" w:pos="1800"/>
      </w:tabs>
      <w:ind w:left="1800" w:hanging="1800"/>
      <w:outlineLvl w:val="4"/>
    </w:pPr>
    <w:rPr>
      <w:bCs w:val="0"/>
      <w:iCs w:val="0"/>
    </w:rPr>
  </w:style>
  <w:style w:type="paragraph" w:styleId="Heading6">
    <w:name w:val="heading 6"/>
    <w:basedOn w:val="Heading5"/>
    <w:next w:val="Normal"/>
    <w:link w:val="Heading6Char"/>
    <w:uiPriority w:val="9"/>
    <w:qFormat/>
    <w:rsid w:val="00F834DC"/>
    <w:pPr>
      <w:numPr>
        <w:ilvl w:val="5"/>
      </w:numPr>
      <w:tabs>
        <w:tab w:val="clear" w:pos="540"/>
        <w:tab w:val="num" w:pos="720"/>
      </w:tabs>
      <w:spacing w:after="60"/>
      <w:ind w:left="720" w:hanging="360"/>
      <w:outlineLvl w:val="5"/>
    </w:pPr>
    <w:rPr>
      <w:bCs/>
      <w:szCs w:val="22"/>
    </w:rPr>
  </w:style>
  <w:style w:type="paragraph" w:styleId="Heading7">
    <w:name w:val="heading 7"/>
    <w:basedOn w:val="Heading6"/>
    <w:next w:val="Normal"/>
    <w:link w:val="Heading7Char"/>
    <w:uiPriority w:val="9"/>
    <w:qFormat/>
    <w:rsid w:val="00F834DC"/>
    <w:pPr>
      <w:numPr>
        <w:ilvl w:val="6"/>
      </w:numPr>
      <w:tabs>
        <w:tab w:val="clear" w:pos="1260"/>
        <w:tab w:val="num" w:pos="720"/>
        <w:tab w:val="num" w:pos="2160"/>
      </w:tabs>
      <w:ind w:left="2160" w:hanging="2160"/>
      <w:outlineLvl w:val="6"/>
    </w:pPr>
    <w:rPr>
      <w:szCs w:val="24"/>
    </w:rPr>
  </w:style>
  <w:style w:type="paragraph" w:styleId="Heading8">
    <w:name w:val="heading 8"/>
    <w:basedOn w:val="Heading7"/>
    <w:next w:val="Normal"/>
    <w:link w:val="Heading8Char"/>
    <w:uiPriority w:val="9"/>
    <w:qFormat/>
    <w:rsid w:val="00F834DC"/>
    <w:pPr>
      <w:numPr>
        <w:ilvl w:val="7"/>
      </w:numPr>
      <w:tabs>
        <w:tab w:val="clear" w:pos="1620"/>
        <w:tab w:val="num" w:pos="720"/>
        <w:tab w:val="num" w:pos="2520"/>
      </w:tabs>
      <w:ind w:left="2520" w:hanging="2520"/>
      <w:outlineLvl w:val="7"/>
    </w:pPr>
    <w:rPr>
      <w:rFonts w:cs="Times New Roman"/>
      <w:bCs w:val="0"/>
      <w:kern w:val="0"/>
      <w:szCs w:val="28"/>
    </w:rPr>
  </w:style>
  <w:style w:type="paragraph" w:styleId="Heading9">
    <w:name w:val="heading 9"/>
    <w:basedOn w:val="Heading8"/>
    <w:next w:val="Normal"/>
    <w:link w:val="Heading9Char"/>
    <w:uiPriority w:val="9"/>
    <w:qFormat/>
    <w:rsid w:val="00F834DC"/>
    <w:pPr>
      <w:numPr>
        <w:ilvl w:val="8"/>
      </w:numPr>
      <w:tabs>
        <w:tab w:val="num" w:pos="720"/>
        <w:tab w:val="num" w:pos="1800"/>
        <w:tab w:val="num" w:pos="2880"/>
      </w:tabs>
      <w:ind w:left="2880" w:hanging="28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834DC"/>
  </w:style>
  <w:style w:type="character" w:customStyle="1" w:styleId="BodyTextChar">
    <w:name w:val="Body Text Char"/>
    <w:basedOn w:val="DefaultParagraphFont"/>
    <w:link w:val="BodyText"/>
    <w:uiPriority w:val="99"/>
    <w:rsid w:val="00F834DC"/>
    <w:rPr>
      <w:rFonts w:ascii="Times New Roman" w:eastAsia="Times New Roman" w:hAnsi="Times New Roman" w:cs="Times New Roman"/>
      <w:sz w:val="24"/>
      <w:szCs w:val="20"/>
      <w:lang w:val="en-US" w:eastAsia="en-CA"/>
    </w:rPr>
  </w:style>
  <w:style w:type="character" w:customStyle="1" w:styleId="Heading1Char">
    <w:name w:val="Heading 1 Char"/>
    <w:basedOn w:val="DefaultParagraphFont"/>
    <w:link w:val="Heading1"/>
    <w:uiPriority w:val="9"/>
    <w:rsid w:val="00F834DC"/>
    <w:rPr>
      <w:rFonts w:ascii="Arial" w:eastAsia="Times New Roman" w:hAnsi="Arial" w:cs="Arial"/>
      <w:bCs/>
      <w:kern w:val="32"/>
      <w:sz w:val="32"/>
      <w:szCs w:val="36"/>
      <w:lang w:val="en-US" w:eastAsia="en-CA"/>
    </w:rPr>
  </w:style>
  <w:style w:type="character" w:customStyle="1" w:styleId="Heading2Char">
    <w:name w:val="Heading 2 Char"/>
    <w:basedOn w:val="DefaultParagraphFont"/>
    <w:link w:val="Heading2"/>
    <w:uiPriority w:val="9"/>
    <w:rsid w:val="00F834DC"/>
    <w:rPr>
      <w:rFonts w:ascii="Arial" w:eastAsia="Times New Roman" w:hAnsi="Arial" w:cs="Arial"/>
      <w:iCs/>
      <w:kern w:val="32"/>
      <w:sz w:val="32"/>
      <w:szCs w:val="28"/>
      <w:lang w:val="en-US" w:eastAsia="en-CA"/>
    </w:rPr>
  </w:style>
  <w:style w:type="character" w:customStyle="1" w:styleId="Heading3Char">
    <w:name w:val="Heading 3 Char"/>
    <w:basedOn w:val="DefaultParagraphFont"/>
    <w:link w:val="Heading3"/>
    <w:uiPriority w:val="9"/>
    <w:rsid w:val="00F834DC"/>
    <w:rPr>
      <w:rFonts w:ascii="Arial" w:eastAsia="Times New Roman" w:hAnsi="Arial" w:cs="Arial"/>
      <w:bCs/>
      <w:iCs/>
      <w:kern w:val="32"/>
      <w:sz w:val="28"/>
      <w:szCs w:val="28"/>
      <w:lang w:val="en-US" w:eastAsia="en-CA"/>
    </w:rPr>
  </w:style>
  <w:style w:type="character" w:customStyle="1" w:styleId="Heading4Char">
    <w:name w:val="Heading 4 Char"/>
    <w:basedOn w:val="DefaultParagraphFont"/>
    <w:link w:val="Heading4"/>
    <w:uiPriority w:val="9"/>
    <w:rsid w:val="00F834DC"/>
    <w:rPr>
      <w:rFonts w:ascii="Arial" w:eastAsia="Times New Roman" w:hAnsi="Arial" w:cs="Arial"/>
      <w:bCs/>
      <w:iCs/>
      <w:kern w:val="32"/>
      <w:sz w:val="28"/>
      <w:szCs w:val="28"/>
      <w:lang w:val="en-US" w:eastAsia="en-CA"/>
    </w:rPr>
  </w:style>
  <w:style w:type="character" w:customStyle="1" w:styleId="Heading5Char">
    <w:name w:val="Heading 5 Char"/>
    <w:basedOn w:val="DefaultParagraphFont"/>
    <w:link w:val="Heading5"/>
    <w:uiPriority w:val="9"/>
    <w:rsid w:val="00F834DC"/>
    <w:rPr>
      <w:rFonts w:ascii="Arial" w:eastAsia="Times New Roman" w:hAnsi="Arial" w:cs="Arial"/>
      <w:kern w:val="32"/>
      <w:sz w:val="28"/>
      <w:szCs w:val="28"/>
      <w:lang w:val="en-US" w:eastAsia="en-CA"/>
    </w:rPr>
  </w:style>
  <w:style w:type="character" w:customStyle="1" w:styleId="Heading6Char">
    <w:name w:val="Heading 6 Char"/>
    <w:basedOn w:val="DefaultParagraphFont"/>
    <w:link w:val="Heading6"/>
    <w:uiPriority w:val="9"/>
    <w:rsid w:val="00F834DC"/>
    <w:rPr>
      <w:rFonts w:ascii="Arial" w:eastAsia="Times New Roman" w:hAnsi="Arial" w:cs="Arial"/>
      <w:bCs/>
      <w:kern w:val="32"/>
      <w:sz w:val="28"/>
      <w:lang w:val="en-US" w:eastAsia="en-CA"/>
    </w:rPr>
  </w:style>
  <w:style w:type="character" w:customStyle="1" w:styleId="Heading7Char">
    <w:name w:val="Heading 7 Char"/>
    <w:basedOn w:val="DefaultParagraphFont"/>
    <w:link w:val="Heading7"/>
    <w:uiPriority w:val="9"/>
    <w:rsid w:val="00F834DC"/>
    <w:rPr>
      <w:rFonts w:ascii="Arial" w:eastAsia="Times New Roman" w:hAnsi="Arial" w:cs="Arial"/>
      <w:bCs/>
      <w:kern w:val="32"/>
      <w:sz w:val="28"/>
      <w:szCs w:val="24"/>
      <w:lang w:val="en-US" w:eastAsia="en-CA"/>
    </w:rPr>
  </w:style>
  <w:style w:type="character" w:customStyle="1" w:styleId="Heading8Char">
    <w:name w:val="Heading 8 Char"/>
    <w:basedOn w:val="DefaultParagraphFont"/>
    <w:link w:val="Heading8"/>
    <w:uiPriority w:val="9"/>
    <w:rsid w:val="00F834DC"/>
    <w:rPr>
      <w:rFonts w:ascii="Arial" w:eastAsia="Times New Roman" w:hAnsi="Arial" w:cs="Times New Roman"/>
      <w:sz w:val="28"/>
      <w:szCs w:val="28"/>
      <w:lang w:val="en-US" w:eastAsia="en-CA"/>
    </w:rPr>
  </w:style>
  <w:style w:type="character" w:customStyle="1" w:styleId="Heading9Char">
    <w:name w:val="Heading 9 Char"/>
    <w:basedOn w:val="DefaultParagraphFont"/>
    <w:link w:val="Heading9"/>
    <w:uiPriority w:val="9"/>
    <w:rsid w:val="00F834DC"/>
    <w:rPr>
      <w:rFonts w:ascii="Arial" w:eastAsia="Times New Roman" w:hAnsi="Arial" w:cs="Times New Roman"/>
      <w:sz w:val="28"/>
      <w:szCs w:val="28"/>
      <w:lang w:val="en-US" w:eastAsia="en-CA"/>
    </w:rPr>
  </w:style>
  <w:style w:type="paragraph" w:styleId="Header">
    <w:name w:val="header"/>
    <w:basedOn w:val="Normal"/>
    <w:link w:val="HeaderChar"/>
    <w:uiPriority w:val="99"/>
    <w:rsid w:val="00F834DC"/>
    <w:pPr>
      <w:tabs>
        <w:tab w:val="center" w:pos="4320"/>
        <w:tab w:val="right" w:pos="8640"/>
      </w:tabs>
      <w:spacing w:before="0"/>
    </w:pPr>
    <w:rPr>
      <w:sz w:val="20"/>
    </w:rPr>
  </w:style>
  <w:style w:type="character" w:customStyle="1" w:styleId="HeaderChar">
    <w:name w:val="Header Char"/>
    <w:basedOn w:val="DefaultParagraphFont"/>
    <w:link w:val="Header"/>
    <w:uiPriority w:val="99"/>
    <w:rsid w:val="00F834DC"/>
    <w:rPr>
      <w:rFonts w:ascii="Times New Roman" w:eastAsia="Times New Roman" w:hAnsi="Times New Roman" w:cs="Times New Roman"/>
      <w:sz w:val="20"/>
      <w:szCs w:val="20"/>
      <w:lang w:val="en-US" w:eastAsia="en-CA"/>
    </w:rPr>
  </w:style>
  <w:style w:type="paragraph" w:styleId="Footer">
    <w:name w:val="footer"/>
    <w:basedOn w:val="Normal"/>
    <w:link w:val="FooterChar"/>
    <w:uiPriority w:val="99"/>
    <w:rsid w:val="00F834DC"/>
    <w:pPr>
      <w:tabs>
        <w:tab w:val="right" w:pos="4680"/>
        <w:tab w:val="right" w:pos="9360"/>
      </w:tabs>
      <w:spacing w:before="0"/>
    </w:pPr>
    <w:rPr>
      <w:sz w:val="20"/>
    </w:rPr>
  </w:style>
  <w:style w:type="character" w:customStyle="1" w:styleId="FooterChar">
    <w:name w:val="Footer Char"/>
    <w:basedOn w:val="DefaultParagraphFont"/>
    <w:link w:val="Footer"/>
    <w:uiPriority w:val="99"/>
    <w:rsid w:val="00F834DC"/>
    <w:rPr>
      <w:rFonts w:ascii="Times New Roman" w:eastAsia="Times New Roman" w:hAnsi="Times New Roman" w:cs="Times New Roman"/>
      <w:sz w:val="20"/>
      <w:szCs w:val="20"/>
      <w:lang w:val="en-US" w:eastAsia="en-CA"/>
    </w:rPr>
  </w:style>
  <w:style w:type="character" w:customStyle="1" w:styleId="List5Char">
    <w:name w:val="List 5 Char"/>
    <w:basedOn w:val="DefaultParagraphFont"/>
    <w:link w:val="List5"/>
    <w:uiPriority w:val="99"/>
    <w:locked/>
    <w:rsid w:val="00F834DC"/>
    <w:rPr>
      <w:sz w:val="24"/>
      <w:lang w:val="en-US"/>
    </w:rPr>
  </w:style>
  <w:style w:type="paragraph" w:styleId="List5">
    <w:name w:val="List 5"/>
    <w:basedOn w:val="Normal"/>
    <w:link w:val="List5Char"/>
    <w:uiPriority w:val="99"/>
    <w:rsid w:val="00F834DC"/>
    <w:pPr>
      <w:numPr>
        <w:numId w:val="10"/>
      </w:numPr>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semiHidden/>
    <w:rsid w:val="00F834DC"/>
    <w:rPr>
      <w:rFonts w:ascii="Times New Roman" w:eastAsia="Times New Roman" w:hAnsi="Times New Roman" w:cs="Times New Roman"/>
      <w:sz w:val="20"/>
      <w:szCs w:val="20"/>
      <w:lang w:val="en-US" w:eastAsia="en-CA"/>
    </w:rPr>
  </w:style>
  <w:style w:type="paragraph" w:styleId="FootnoteText">
    <w:name w:val="footnote text"/>
    <w:basedOn w:val="Normal"/>
    <w:link w:val="FootnoteTextChar"/>
    <w:uiPriority w:val="99"/>
    <w:semiHidden/>
    <w:rsid w:val="00F834DC"/>
    <w:pPr>
      <w:spacing w:before="0" w:after="120" w:line="240" w:lineRule="auto"/>
    </w:pPr>
    <w:rPr>
      <w:sz w:val="20"/>
    </w:rPr>
  </w:style>
  <w:style w:type="paragraph" w:customStyle="1" w:styleId="Chapter">
    <w:name w:val="Chapter"/>
    <w:basedOn w:val="Normal"/>
    <w:next w:val="Normal"/>
    <w:uiPriority w:val="99"/>
    <w:rsid w:val="00F834DC"/>
    <w:pPr>
      <w:pageBreakBefore/>
      <w:spacing w:after="240" w:line="240" w:lineRule="auto"/>
      <w:jc w:val="center"/>
      <w:outlineLvl w:val="0"/>
    </w:pPr>
    <w:rPr>
      <w:rFonts w:ascii="Arial" w:hAnsi="Arial"/>
      <w:sz w:val="32"/>
      <w:szCs w:val="28"/>
    </w:rPr>
  </w:style>
  <w:style w:type="paragraph" w:styleId="TOC1">
    <w:name w:val="toc 1"/>
    <w:basedOn w:val="Normal"/>
    <w:next w:val="Normal"/>
    <w:autoRedefine/>
    <w:uiPriority w:val="39"/>
    <w:rsid w:val="00F834DC"/>
    <w:pPr>
      <w:tabs>
        <w:tab w:val="left" w:pos="288"/>
        <w:tab w:val="right" w:leader="dot" w:pos="8630"/>
        <w:tab w:val="right" w:leader="dot" w:pos="9360"/>
      </w:tabs>
      <w:spacing w:line="240" w:lineRule="auto"/>
      <w:ind w:left="289" w:right="357" w:hanging="289"/>
    </w:pPr>
  </w:style>
  <w:style w:type="paragraph" w:customStyle="1" w:styleId="FigureCaption">
    <w:name w:val="Figure Caption"/>
    <w:basedOn w:val="Normal"/>
    <w:next w:val="Normal"/>
    <w:uiPriority w:val="99"/>
    <w:rsid w:val="00F834DC"/>
    <w:pPr>
      <w:numPr>
        <w:numId w:val="1"/>
      </w:numPr>
      <w:spacing w:after="240" w:line="240" w:lineRule="auto"/>
    </w:pPr>
    <w:rPr>
      <w:rFonts w:ascii="Arial" w:hAnsi="Arial"/>
      <w:sz w:val="18"/>
    </w:rPr>
  </w:style>
  <w:style w:type="paragraph" w:styleId="TOC2">
    <w:name w:val="toc 2"/>
    <w:basedOn w:val="TOC1"/>
    <w:next w:val="Normal"/>
    <w:autoRedefine/>
    <w:uiPriority w:val="39"/>
    <w:rsid w:val="00F834DC"/>
    <w:pPr>
      <w:tabs>
        <w:tab w:val="clear" w:pos="288"/>
        <w:tab w:val="left" w:pos="720"/>
      </w:tabs>
      <w:ind w:left="720" w:hanging="432"/>
    </w:pPr>
  </w:style>
  <w:style w:type="paragraph" w:styleId="TOC3">
    <w:name w:val="toc 3"/>
    <w:basedOn w:val="TOC1"/>
    <w:next w:val="Normal"/>
    <w:autoRedefine/>
    <w:uiPriority w:val="39"/>
    <w:rsid w:val="00F834DC"/>
    <w:pPr>
      <w:tabs>
        <w:tab w:val="clear" w:pos="288"/>
        <w:tab w:val="left" w:pos="1440"/>
      </w:tabs>
      <w:ind w:left="1440" w:hanging="720"/>
    </w:pPr>
  </w:style>
  <w:style w:type="paragraph" w:styleId="TOC4">
    <w:name w:val="toc 4"/>
    <w:basedOn w:val="TOC1"/>
    <w:next w:val="Normal"/>
    <w:autoRedefine/>
    <w:uiPriority w:val="39"/>
    <w:rsid w:val="00F834DC"/>
    <w:pPr>
      <w:tabs>
        <w:tab w:val="clear" w:pos="288"/>
        <w:tab w:val="left" w:pos="2304"/>
      </w:tabs>
      <w:ind w:left="2304" w:hanging="864"/>
    </w:pPr>
  </w:style>
  <w:style w:type="character" w:styleId="Hyperlink">
    <w:name w:val="Hyperlink"/>
    <w:basedOn w:val="DefaultParagraphFont"/>
    <w:uiPriority w:val="99"/>
    <w:rsid w:val="00F834DC"/>
    <w:rPr>
      <w:rFonts w:cs="Times New Roman"/>
      <w:color w:val="0000FF"/>
      <w:u w:val="single"/>
    </w:rPr>
  </w:style>
  <w:style w:type="paragraph" w:customStyle="1" w:styleId="forTOC">
    <w:name w:val="forTOC"/>
    <w:basedOn w:val="Normal"/>
    <w:next w:val="Normal"/>
    <w:uiPriority w:val="99"/>
    <w:rsid w:val="00F834DC"/>
    <w:pPr>
      <w:spacing w:after="240" w:line="240" w:lineRule="auto"/>
    </w:pPr>
    <w:rPr>
      <w:rFonts w:ascii="Arial" w:hAnsi="Arial"/>
      <w:sz w:val="28"/>
    </w:rPr>
  </w:style>
  <w:style w:type="paragraph" w:styleId="Caption">
    <w:name w:val="caption"/>
    <w:basedOn w:val="Normal"/>
    <w:next w:val="Normal"/>
    <w:uiPriority w:val="35"/>
    <w:qFormat/>
    <w:rsid w:val="00F834DC"/>
    <w:rPr>
      <w:b/>
      <w:bCs/>
    </w:rPr>
  </w:style>
  <w:style w:type="paragraph" w:styleId="TableofFigures">
    <w:name w:val="table of figures"/>
    <w:basedOn w:val="Normal"/>
    <w:next w:val="Normal"/>
    <w:uiPriority w:val="99"/>
    <w:rsid w:val="00F834DC"/>
  </w:style>
  <w:style w:type="paragraph" w:customStyle="1" w:styleId="captiontext">
    <w:name w:val="caption text"/>
    <w:basedOn w:val="FigureCaption"/>
    <w:next w:val="Normal"/>
    <w:uiPriority w:val="99"/>
    <w:rsid w:val="00F834DC"/>
    <w:pPr>
      <w:numPr>
        <w:numId w:val="0"/>
      </w:numPr>
    </w:pPr>
  </w:style>
  <w:style w:type="paragraph" w:styleId="ListBullet">
    <w:name w:val="List Bullet"/>
    <w:basedOn w:val="Normal"/>
    <w:rsid w:val="00F834DC"/>
    <w:pPr>
      <w:numPr>
        <w:numId w:val="12"/>
      </w:numPr>
      <w:tabs>
        <w:tab w:val="clear" w:pos="720"/>
        <w:tab w:val="num" w:pos="540"/>
      </w:tabs>
      <w:spacing w:before="60"/>
      <w:ind w:left="540"/>
    </w:pPr>
    <w:rPr>
      <w:lang w:eastAsia="en-US"/>
    </w:rPr>
  </w:style>
  <w:style w:type="paragraph" w:customStyle="1" w:styleId="quotation">
    <w:name w:val="quotation"/>
    <w:basedOn w:val="Normal"/>
    <w:next w:val="Normal"/>
    <w:uiPriority w:val="99"/>
    <w:rsid w:val="00F834DC"/>
    <w:pPr>
      <w:ind w:left="720" w:right="720"/>
    </w:pPr>
    <w:rPr>
      <w:i/>
    </w:rPr>
  </w:style>
  <w:style w:type="paragraph" w:styleId="ListBullet2">
    <w:name w:val="List Bullet 2"/>
    <w:basedOn w:val="Normal"/>
    <w:uiPriority w:val="99"/>
    <w:rsid w:val="00F834DC"/>
    <w:pPr>
      <w:numPr>
        <w:numId w:val="3"/>
      </w:numPr>
      <w:tabs>
        <w:tab w:val="clear" w:pos="1008"/>
        <w:tab w:val="num" w:pos="900"/>
      </w:tabs>
      <w:ind w:left="900"/>
    </w:pPr>
  </w:style>
  <w:style w:type="character" w:styleId="FollowedHyperlink">
    <w:name w:val="FollowedHyperlink"/>
    <w:basedOn w:val="DefaultParagraphFont"/>
    <w:uiPriority w:val="99"/>
    <w:rsid w:val="00F834DC"/>
    <w:rPr>
      <w:rFonts w:cs="Times New Roman"/>
      <w:color w:val="800080"/>
      <w:u w:val="single"/>
    </w:rPr>
  </w:style>
  <w:style w:type="character" w:customStyle="1" w:styleId="BalloonTextChar">
    <w:name w:val="Balloon Text Char"/>
    <w:basedOn w:val="DefaultParagraphFont"/>
    <w:link w:val="BalloonText"/>
    <w:uiPriority w:val="99"/>
    <w:semiHidden/>
    <w:rsid w:val="00F834DC"/>
    <w:rPr>
      <w:rFonts w:ascii="Tahoma" w:eastAsia="Times New Roman" w:hAnsi="Tahoma" w:cs="Tahoma"/>
      <w:sz w:val="16"/>
      <w:szCs w:val="16"/>
      <w:lang w:val="en-US" w:eastAsia="en-CA"/>
    </w:rPr>
  </w:style>
  <w:style w:type="paragraph" w:styleId="BalloonText">
    <w:name w:val="Balloon Text"/>
    <w:basedOn w:val="Normal"/>
    <w:link w:val="BalloonTextChar"/>
    <w:uiPriority w:val="99"/>
    <w:semiHidden/>
    <w:rsid w:val="00F834DC"/>
    <w:rPr>
      <w:rFonts w:ascii="Tahoma" w:hAnsi="Tahoma" w:cs="Tahoma"/>
      <w:sz w:val="16"/>
      <w:szCs w:val="16"/>
    </w:rPr>
  </w:style>
  <w:style w:type="paragraph" w:styleId="BlockText">
    <w:name w:val="Block Text"/>
    <w:basedOn w:val="Normal"/>
    <w:uiPriority w:val="99"/>
    <w:rsid w:val="00F834DC"/>
    <w:pPr>
      <w:spacing w:after="120"/>
      <w:ind w:left="1440" w:right="1440"/>
    </w:pPr>
  </w:style>
  <w:style w:type="paragraph" w:styleId="BodyTextIndent">
    <w:name w:val="Body Text Indent"/>
    <w:basedOn w:val="Normal"/>
    <w:link w:val="BodyTextIndentChar"/>
    <w:uiPriority w:val="99"/>
    <w:rsid w:val="00F834DC"/>
    <w:pPr>
      <w:spacing w:after="120"/>
      <w:ind w:left="360"/>
    </w:pPr>
  </w:style>
  <w:style w:type="character" w:customStyle="1" w:styleId="BodyTextIndentChar">
    <w:name w:val="Body Text Indent Char"/>
    <w:basedOn w:val="DefaultParagraphFont"/>
    <w:link w:val="BodyTextIndent"/>
    <w:uiPriority w:val="99"/>
    <w:rsid w:val="00F834DC"/>
    <w:rPr>
      <w:rFonts w:ascii="Times New Roman" w:eastAsia="Times New Roman" w:hAnsi="Times New Roman" w:cs="Times New Roman"/>
      <w:sz w:val="24"/>
      <w:szCs w:val="20"/>
      <w:lang w:val="en-US" w:eastAsia="en-CA"/>
    </w:rPr>
  </w:style>
  <w:style w:type="paragraph" w:customStyle="1" w:styleId="Department">
    <w:name w:val="Department"/>
    <w:basedOn w:val="BodyText"/>
    <w:uiPriority w:val="99"/>
    <w:rsid w:val="00F834DC"/>
    <w:pPr>
      <w:spacing w:before="120" w:line="240" w:lineRule="auto"/>
      <w:jc w:val="center"/>
    </w:pPr>
    <w:rPr>
      <w:rFonts w:ascii="Arial" w:hAnsi="Arial"/>
    </w:rPr>
  </w:style>
  <w:style w:type="character" w:customStyle="1" w:styleId="CommentTextChar">
    <w:name w:val="Comment Text Char"/>
    <w:basedOn w:val="DefaultParagraphFont"/>
    <w:link w:val="CommentText"/>
    <w:uiPriority w:val="99"/>
    <w:semiHidden/>
    <w:rsid w:val="00F834DC"/>
    <w:rPr>
      <w:rFonts w:ascii="Times New Roman" w:eastAsia="Times New Roman" w:hAnsi="Times New Roman" w:cs="Times New Roman"/>
      <w:sz w:val="24"/>
      <w:szCs w:val="20"/>
      <w:lang w:val="en-US" w:eastAsia="en-CA"/>
    </w:rPr>
  </w:style>
  <w:style w:type="paragraph" w:styleId="CommentText">
    <w:name w:val="annotation text"/>
    <w:basedOn w:val="Normal"/>
    <w:link w:val="CommentTextChar"/>
    <w:uiPriority w:val="99"/>
    <w:semiHidden/>
    <w:rsid w:val="00F834DC"/>
  </w:style>
  <w:style w:type="character" w:customStyle="1" w:styleId="CommentSubjectChar">
    <w:name w:val="Comment Subject Char"/>
    <w:basedOn w:val="CommentTextChar"/>
    <w:link w:val="CommentSubject"/>
    <w:uiPriority w:val="99"/>
    <w:semiHidden/>
    <w:rsid w:val="00F834DC"/>
    <w:rPr>
      <w:rFonts w:ascii="Times New Roman" w:eastAsia="Times New Roman" w:hAnsi="Times New Roman" w:cs="Times New Roman"/>
      <w:b/>
      <w:bCs/>
      <w:sz w:val="24"/>
      <w:szCs w:val="20"/>
      <w:lang w:val="en-US" w:eastAsia="en-CA"/>
    </w:rPr>
  </w:style>
  <w:style w:type="paragraph" w:styleId="CommentSubject">
    <w:name w:val="annotation subject"/>
    <w:basedOn w:val="CommentText"/>
    <w:next w:val="CommentText"/>
    <w:link w:val="CommentSubjectChar"/>
    <w:uiPriority w:val="99"/>
    <w:semiHidden/>
    <w:rsid w:val="00F834DC"/>
    <w:rPr>
      <w:b/>
      <w:bCs/>
    </w:rPr>
  </w:style>
  <w:style w:type="character" w:customStyle="1" w:styleId="DocumentMapChar">
    <w:name w:val="Document Map Char"/>
    <w:basedOn w:val="DefaultParagraphFont"/>
    <w:link w:val="DocumentMap"/>
    <w:uiPriority w:val="99"/>
    <w:semiHidden/>
    <w:rsid w:val="00F834DC"/>
    <w:rPr>
      <w:rFonts w:ascii="Tahoma" w:eastAsia="Times New Roman" w:hAnsi="Tahoma" w:cs="Tahoma"/>
      <w:sz w:val="24"/>
      <w:szCs w:val="20"/>
      <w:shd w:val="clear" w:color="auto" w:fill="000080"/>
      <w:lang w:val="en-US" w:eastAsia="en-CA"/>
    </w:rPr>
  </w:style>
  <w:style w:type="paragraph" w:styleId="DocumentMap">
    <w:name w:val="Document Map"/>
    <w:basedOn w:val="Normal"/>
    <w:link w:val="DocumentMapChar"/>
    <w:uiPriority w:val="99"/>
    <w:semiHidden/>
    <w:rsid w:val="00F834DC"/>
    <w:pPr>
      <w:shd w:val="clear" w:color="auto" w:fill="000080"/>
    </w:pPr>
    <w:rPr>
      <w:rFonts w:ascii="Tahoma" w:hAnsi="Tahoma" w:cs="Tahoma"/>
    </w:rPr>
  </w:style>
  <w:style w:type="character" w:customStyle="1" w:styleId="EndnoteTextChar">
    <w:name w:val="Endnote Text Char"/>
    <w:basedOn w:val="DefaultParagraphFont"/>
    <w:link w:val="EndnoteText"/>
    <w:uiPriority w:val="99"/>
    <w:semiHidden/>
    <w:rsid w:val="00F834DC"/>
    <w:rPr>
      <w:rFonts w:ascii="Times New Roman" w:eastAsia="Times New Roman" w:hAnsi="Times New Roman" w:cs="Times New Roman"/>
      <w:sz w:val="24"/>
      <w:szCs w:val="20"/>
      <w:lang w:val="en-US" w:eastAsia="en-CA"/>
    </w:rPr>
  </w:style>
  <w:style w:type="paragraph" w:styleId="EndnoteText">
    <w:name w:val="endnote text"/>
    <w:basedOn w:val="Normal"/>
    <w:link w:val="EndnoteTextChar"/>
    <w:uiPriority w:val="99"/>
    <w:semiHidden/>
    <w:rsid w:val="00F834DC"/>
  </w:style>
  <w:style w:type="paragraph" w:styleId="HTMLAddress">
    <w:name w:val="HTML Address"/>
    <w:basedOn w:val="Normal"/>
    <w:link w:val="HTMLAddressChar"/>
    <w:uiPriority w:val="99"/>
    <w:rsid w:val="00F834DC"/>
    <w:rPr>
      <w:i/>
      <w:iCs/>
    </w:rPr>
  </w:style>
  <w:style w:type="character" w:customStyle="1" w:styleId="HTMLAddressChar">
    <w:name w:val="HTML Address Char"/>
    <w:basedOn w:val="DefaultParagraphFont"/>
    <w:link w:val="HTMLAddress"/>
    <w:uiPriority w:val="99"/>
    <w:rsid w:val="00F834DC"/>
    <w:rPr>
      <w:rFonts w:ascii="Times New Roman" w:eastAsia="Times New Roman" w:hAnsi="Times New Roman" w:cs="Times New Roman"/>
      <w:i/>
      <w:iCs/>
      <w:sz w:val="24"/>
      <w:szCs w:val="20"/>
      <w:lang w:val="en-US" w:eastAsia="en-CA"/>
    </w:rPr>
  </w:style>
  <w:style w:type="paragraph" w:styleId="HTMLPreformatted">
    <w:name w:val="HTML Preformatted"/>
    <w:basedOn w:val="Normal"/>
    <w:link w:val="HTMLPreformattedChar"/>
    <w:uiPriority w:val="99"/>
    <w:rsid w:val="00F834DC"/>
    <w:rPr>
      <w:rFonts w:ascii="Courier New" w:hAnsi="Courier New" w:cs="Courier New"/>
    </w:rPr>
  </w:style>
  <w:style w:type="character" w:customStyle="1" w:styleId="HTMLPreformattedChar">
    <w:name w:val="HTML Preformatted Char"/>
    <w:basedOn w:val="DefaultParagraphFont"/>
    <w:link w:val="HTMLPreformatted"/>
    <w:uiPriority w:val="99"/>
    <w:rsid w:val="00F834DC"/>
    <w:rPr>
      <w:rFonts w:ascii="Courier New" w:eastAsia="Times New Roman" w:hAnsi="Courier New" w:cs="Courier New"/>
      <w:sz w:val="24"/>
      <w:szCs w:val="20"/>
      <w:lang w:val="en-US" w:eastAsia="en-CA"/>
    </w:rPr>
  </w:style>
  <w:style w:type="paragraph" w:styleId="List">
    <w:name w:val="List"/>
    <w:basedOn w:val="Normal"/>
    <w:uiPriority w:val="99"/>
    <w:rsid w:val="00F834DC"/>
    <w:pPr>
      <w:numPr>
        <w:numId w:val="11"/>
      </w:numPr>
      <w:tabs>
        <w:tab w:val="clear" w:pos="1291"/>
        <w:tab w:val="num" w:pos="540"/>
      </w:tabs>
      <w:ind w:left="540"/>
    </w:pPr>
  </w:style>
  <w:style w:type="paragraph" w:styleId="List2">
    <w:name w:val="List 2"/>
    <w:basedOn w:val="Normal"/>
    <w:uiPriority w:val="99"/>
    <w:rsid w:val="00F834DC"/>
    <w:pPr>
      <w:numPr>
        <w:numId w:val="7"/>
      </w:numPr>
      <w:tabs>
        <w:tab w:val="clear" w:pos="931"/>
        <w:tab w:val="num" w:pos="900"/>
      </w:tabs>
      <w:ind w:left="900"/>
    </w:pPr>
  </w:style>
  <w:style w:type="paragraph" w:styleId="List3">
    <w:name w:val="List 3"/>
    <w:basedOn w:val="Normal"/>
    <w:uiPriority w:val="99"/>
    <w:rsid w:val="00F834DC"/>
    <w:pPr>
      <w:numPr>
        <w:numId w:val="8"/>
      </w:numPr>
      <w:tabs>
        <w:tab w:val="clear" w:pos="1291"/>
        <w:tab w:val="num" w:pos="1260"/>
      </w:tabs>
      <w:ind w:left="1260"/>
    </w:pPr>
  </w:style>
  <w:style w:type="paragraph" w:styleId="List4">
    <w:name w:val="List 4"/>
    <w:basedOn w:val="Normal"/>
    <w:link w:val="List4Char"/>
    <w:uiPriority w:val="99"/>
    <w:rsid w:val="00F834DC"/>
    <w:pPr>
      <w:numPr>
        <w:numId w:val="9"/>
      </w:numPr>
      <w:tabs>
        <w:tab w:val="clear" w:pos="1651"/>
        <w:tab w:val="num" w:pos="1620"/>
      </w:tabs>
      <w:ind w:hanging="391"/>
    </w:pPr>
  </w:style>
  <w:style w:type="character" w:customStyle="1" w:styleId="List4Char">
    <w:name w:val="List 4 Char"/>
    <w:basedOn w:val="DefaultParagraphFont"/>
    <w:link w:val="List4"/>
    <w:uiPriority w:val="99"/>
    <w:locked/>
    <w:rsid w:val="00F834DC"/>
    <w:rPr>
      <w:rFonts w:ascii="Times New Roman" w:eastAsia="Times New Roman" w:hAnsi="Times New Roman" w:cs="Times New Roman"/>
      <w:sz w:val="24"/>
      <w:szCs w:val="20"/>
      <w:lang w:val="en-US" w:eastAsia="en-CA"/>
    </w:rPr>
  </w:style>
  <w:style w:type="paragraph" w:styleId="ListBullet3">
    <w:name w:val="List Bullet 3"/>
    <w:basedOn w:val="Normal"/>
    <w:next w:val="Normal"/>
    <w:uiPriority w:val="99"/>
    <w:rsid w:val="00F834DC"/>
    <w:pPr>
      <w:numPr>
        <w:numId w:val="4"/>
      </w:numPr>
      <w:tabs>
        <w:tab w:val="clear" w:pos="1800"/>
        <w:tab w:val="num" w:pos="1260"/>
      </w:tabs>
      <w:ind w:hanging="900"/>
    </w:pPr>
  </w:style>
  <w:style w:type="paragraph" w:styleId="ListBullet4">
    <w:name w:val="List Bullet 4"/>
    <w:basedOn w:val="Normal"/>
    <w:uiPriority w:val="99"/>
    <w:rsid w:val="00F834DC"/>
    <w:pPr>
      <w:numPr>
        <w:numId w:val="5"/>
      </w:numPr>
      <w:tabs>
        <w:tab w:val="left" w:pos="1368"/>
      </w:tabs>
    </w:pPr>
  </w:style>
  <w:style w:type="paragraph" w:styleId="ListBullet5">
    <w:name w:val="List Bullet 5"/>
    <w:basedOn w:val="Normal"/>
    <w:uiPriority w:val="99"/>
    <w:rsid w:val="00F834DC"/>
    <w:pPr>
      <w:numPr>
        <w:numId w:val="6"/>
      </w:numPr>
      <w:tabs>
        <w:tab w:val="left" w:pos="1728"/>
      </w:tabs>
    </w:pPr>
  </w:style>
  <w:style w:type="paragraph" w:styleId="ListContinue">
    <w:name w:val="List Continue"/>
    <w:basedOn w:val="Normal"/>
    <w:uiPriority w:val="99"/>
    <w:rsid w:val="00F834DC"/>
    <w:pPr>
      <w:spacing w:after="120"/>
      <w:ind w:left="360"/>
    </w:pPr>
  </w:style>
  <w:style w:type="paragraph" w:styleId="ListContinue2">
    <w:name w:val="List Continue 2"/>
    <w:basedOn w:val="Normal"/>
    <w:uiPriority w:val="99"/>
    <w:rsid w:val="00F834DC"/>
    <w:pPr>
      <w:spacing w:after="120"/>
      <w:ind w:left="720"/>
    </w:pPr>
  </w:style>
  <w:style w:type="paragraph" w:styleId="ListContinue3">
    <w:name w:val="List Continue 3"/>
    <w:basedOn w:val="Normal"/>
    <w:uiPriority w:val="99"/>
    <w:rsid w:val="00F834DC"/>
    <w:pPr>
      <w:spacing w:after="120"/>
      <w:ind w:left="1080"/>
    </w:pPr>
  </w:style>
  <w:style w:type="paragraph" w:styleId="ListContinue4">
    <w:name w:val="List Continue 4"/>
    <w:basedOn w:val="Normal"/>
    <w:uiPriority w:val="99"/>
    <w:rsid w:val="00F834DC"/>
    <w:pPr>
      <w:spacing w:after="120"/>
      <w:ind w:left="1440"/>
    </w:pPr>
  </w:style>
  <w:style w:type="paragraph" w:styleId="ListContinue5">
    <w:name w:val="List Continue 5"/>
    <w:basedOn w:val="Normal"/>
    <w:uiPriority w:val="99"/>
    <w:rsid w:val="00F834DC"/>
    <w:pPr>
      <w:spacing w:after="120"/>
      <w:ind w:left="1800"/>
    </w:pPr>
  </w:style>
  <w:style w:type="character" w:customStyle="1" w:styleId="MacroTextChar">
    <w:name w:val="Macro Text Char"/>
    <w:basedOn w:val="DefaultParagraphFont"/>
    <w:link w:val="MacroText"/>
    <w:uiPriority w:val="99"/>
    <w:semiHidden/>
    <w:rsid w:val="00F834DC"/>
    <w:rPr>
      <w:rFonts w:ascii="Courier New" w:eastAsia="Times New Roman" w:hAnsi="Courier New" w:cs="Courier New"/>
      <w:sz w:val="20"/>
      <w:szCs w:val="20"/>
      <w:lang w:val="en-US" w:eastAsia="en-CA"/>
    </w:rPr>
  </w:style>
  <w:style w:type="paragraph" w:styleId="MacroText">
    <w:name w:val="macro"/>
    <w:link w:val="MacroTextChar"/>
    <w:uiPriority w:val="99"/>
    <w:semiHidden/>
    <w:rsid w:val="00F834DC"/>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Courier New"/>
      <w:sz w:val="20"/>
      <w:szCs w:val="20"/>
      <w:lang w:val="en-US" w:eastAsia="en-CA"/>
    </w:rPr>
  </w:style>
  <w:style w:type="paragraph" w:customStyle="1" w:styleId="Abstracttext">
    <w:name w:val="Abstract text"/>
    <w:basedOn w:val="Normal"/>
    <w:uiPriority w:val="99"/>
    <w:rsid w:val="00F834DC"/>
    <w:pPr>
      <w:spacing w:line="480" w:lineRule="auto"/>
    </w:pPr>
  </w:style>
  <w:style w:type="paragraph" w:styleId="NormalWeb">
    <w:name w:val="Normal (Web)"/>
    <w:basedOn w:val="Normal"/>
    <w:uiPriority w:val="99"/>
    <w:rsid w:val="00F834DC"/>
    <w:rPr>
      <w:szCs w:val="24"/>
    </w:rPr>
  </w:style>
  <w:style w:type="paragraph" w:styleId="NormalIndent">
    <w:name w:val="Normal Indent"/>
    <w:basedOn w:val="Normal"/>
    <w:uiPriority w:val="99"/>
    <w:rsid w:val="00F834DC"/>
    <w:pPr>
      <w:ind w:left="720"/>
    </w:pPr>
  </w:style>
  <w:style w:type="paragraph" w:styleId="NoteHeading">
    <w:name w:val="Note Heading"/>
    <w:basedOn w:val="Normal"/>
    <w:next w:val="Normal"/>
    <w:link w:val="NoteHeadingChar"/>
    <w:uiPriority w:val="99"/>
    <w:rsid w:val="00F834DC"/>
  </w:style>
  <w:style w:type="character" w:customStyle="1" w:styleId="NoteHeadingChar">
    <w:name w:val="Note Heading Char"/>
    <w:basedOn w:val="DefaultParagraphFont"/>
    <w:link w:val="NoteHeading"/>
    <w:uiPriority w:val="99"/>
    <w:rsid w:val="00F834DC"/>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rsid w:val="00F834DC"/>
    <w:rPr>
      <w:rFonts w:ascii="Courier New" w:hAnsi="Courier New" w:cs="Courier New"/>
    </w:rPr>
  </w:style>
  <w:style w:type="character" w:customStyle="1" w:styleId="PlainTextChar">
    <w:name w:val="Plain Text Char"/>
    <w:basedOn w:val="DefaultParagraphFont"/>
    <w:link w:val="PlainText"/>
    <w:uiPriority w:val="99"/>
    <w:rsid w:val="00F834DC"/>
    <w:rPr>
      <w:rFonts w:ascii="Courier New" w:eastAsia="Times New Roman" w:hAnsi="Courier New" w:cs="Courier New"/>
      <w:sz w:val="24"/>
      <w:szCs w:val="20"/>
      <w:lang w:val="en-US" w:eastAsia="en-CA"/>
    </w:rPr>
  </w:style>
  <w:style w:type="paragraph" w:styleId="Subtitle">
    <w:name w:val="Subtitle"/>
    <w:basedOn w:val="Normal"/>
    <w:link w:val="SubtitleChar"/>
    <w:uiPriority w:val="11"/>
    <w:qFormat/>
    <w:rsid w:val="00F834DC"/>
    <w:pPr>
      <w:spacing w:before="1800" w:line="240" w:lineRule="auto"/>
      <w:jc w:val="center"/>
    </w:pPr>
    <w:rPr>
      <w:rFonts w:ascii="Arial" w:hAnsi="Arial" w:cs="Arial"/>
      <w:szCs w:val="24"/>
    </w:rPr>
  </w:style>
  <w:style w:type="character" w:customStyle="1" w:styleId="SubtitleChar">
    <w:name w:val="Subtitle Char"/>
    <w:basedOn w:val="DefaultParagraphFont"/>
    <w:link w:val="Subtitle"/>
    <w:uiPriority w:val="11"/>
    <w:rsid w:val="00F834DC"/>
    <w:rPr>
      <w:rFonts w:ascii="Arial" w:eastAsia="Times New Roman" w:hAnsi="Arial" w:cs="Arial"/>
      <w:sz w:val="24"/>
      <w:szCs w:val="24"/>
      <w:lang w:val="en-US" w:eastAsia="en-CA"/>
    </w:rPr>
  </w:style>
  <w:style w:type="paragraph" w:styleId="Title">
    <w:name w:val="Title"/>
    <w:basedOn w:val="Normal"/>
    <w:next w:val="Subtitle"/>
    <w:link w:val="TitleChar"/>
    <w:autoRedefine/>
    <w:uiPriority w:val="10"/>
    <w:qFormat/>
    <w:rsid w:val="00F834DC"/>
    <w:pPr>
      <w:spacing w:before="2160" w:line="240" w:lineRule="auto"/>
      <w:jc w:val="center"/>
    </w:pPr>
    <w:rPr>
      <w:rFonts w:ascii="Arial" w:hAnsi="Arial"/>
      <w:szCs w:val="24"/>
    </w:rPr>
  </w:style>
  <w:style w:type="character" w:customStyle="1" w:styleId="TitleChar">
    <w:name w:val="Title Char"/>
    <w:basedOn w:val="DefaultParagraphFont"/>
    <w:link w:val="Title"/>
    <w:uiPriority w:val="10"/>
    <w:rsid w:val="00F834DC"/>
    <w:rPr>
      <w:rFonts w:ascii="Arial" w:eastAsia="Times New Roman" w:hAnsi="Arial" w:cs="Times New Roman"/>
      <w:sz w:val="24"/>
      <w:szCs w:val="24"/>
      <w:lang w:val="en-US" w:eastAsia="en-CA"/>
    </w:rPr>
  </w:style>
  <w:style w:type="paragraph" w:styleId="TOC5">
    <w:name w:val="toc 5"/>
    <w:basedOn w:val="Normal"/>
    <w:next w:val="Normal"/>
    <w:autoRedefine/>
    <w:uiPriority w:val="39"/>
    <w:rsid w:val="00F834DC"/>
    <w:pPr>
      <w:ind w:left="800"/>
    </w:pPr>
  </w:style>
  <w:style w:type="paragraph" w:styleId="TOC6">
    <w:name w:val="toc 6"/>
    <w:basedOn w:val="Normal"/>
    <w:next w:val="Normal"/>
    <w:autoRedefine/>
    <w:uiPriority w:val="39"/>
    <w:rsid w:val="00F834DC"/>
    <w:pPr>
      <w:ind w:left="1000"/>
    </w:pPr>
  </w:style>
  <w:style w:type="paragraph" w:styleId="TOC7">
    <w:name w:val="toc 7"/>
    <w:basedOn w:val="Normal"/>
    <w:next w:val="Normal"/>
    <w:autoRedefine/>
    <w:uiPriority w:val="39"/>
    <w:rsid w:val="00F834DC"/>
    <w:pPr>
      <w:ind w:left="1200"/>
    </w:pPr>
  </w:style>
  <w:style w:type="paragraph" w:styleId="TOC8">
    <w:name w:val="toc 8"/>
    <w:basedOn w:val="Normal"/>
    <w:next w:val="Normal"/>
    <w:autoRedefine/>
    <w:uiPriority w:val="39"/>
    <w:rsid w:val="00F834DC"/>
    <w:pPr>
      <w:ind w:left="1400"/>
    </w:pPr>
  </w:style>
  <w:style w:type="paragraph" w:styleId="TOC9">
    <w:name w:val="toc 9"/>
    <w:basedOn w:val="Normal"/>
    <w:next w:val="Normal"/>
    <w:autoRedefine/>
    <w:uiPriority w:val="39"/>
    <w:rsid w:val="00F834DC"/>
    <w:pPr>
      <w:ind w:left="1600"/>
    </w:pPr>
  </w:style>
  <w:style w:type="paragraph" w:customStyle="1" w:styleId="Abstract">
    <w:name w:val="Abstract"/>
    <w:basedOn w:val="Abstracttitle"/>
    <w:next w:val="Abstracttext"/>
    <w:uiPriority w:val="99"/>
    <w:rsid w:val="00F834DC"/>
    <w:pPr>
      <w:jc w:val="left"/>
    </w:pPr>
    <w:rPr>
      <w:szCs w:val="32"/>
    </w:rPr>
  </w:style>
  <w:style w:type="paragraph" w:customStyle="1" w:styleId="Abstracttitle">
    <w:name w:val="Abstract title"/>
    <w:basedOn w:val="Normal"/>
    <w:uiPriority w:val="99"/>
    <w:rsid w:val="00F834DC"/>
    <w:pPr>
      <w:jc w:val="center"/>
    </w:pPr>
    <w:rPr>
      <w:rFonts w:ascii="Arial" w:hAnsi="Arial"/>
      <w:sz w:val="32"/>
      <w:szCs w:val="28"/>
    </w:rPr>
  </w:style>
  <w:style w:type="paragraph" w:customStyle="1" w:styleId="AbstractWestern">
    <w:name w:val="Abstract Western"/>
    <w:basedOn w:val="Normal"/>
    <w:uiPriority w:val="99"/>
    <w:rsid w:val="00F834DC"/>
    <w:pPr>
      <w:spacing w:line="240" w:lineRule="auto"/>
      <w:jc w:val="center"/>
    </w:pPr>
  </w:style>
  <w:style w:type="character" w:styleId="PageNumber">
    <w:name w:val="page number"/>
    <w:basedOn w:val="DefaultParagraphFont"/>
    <w:uiPriority w:val="99"/>
    <w:rsid w:val="00F834DC"/>
    <w:rPr>
      <w:rFonts w:cs="Times New Roman"/>
    </w:rPr>
  </w:style>
  <w:style w:type="paragraph" w:customStyle="1" w:styleId="biblio">
    <w:name w:val="biblio"/>
    <w:basedOn w:val="Normal"/>
    <w:uiPriority w:val="99"/>
    <w:rsid w:val="00F834DC"/>
    <w:pPr>
      <w:spacing w:before="120" w:line="240" w:lineRule="auto"/>
      <w:ind w:left="720" w:hanging="720"/>
    </w:pPr>
    <w:rPr>
      <w:lang w:eastAsia="en-US"/>
    </w:rPr>
  </w:style>
  <w:style w:type="paragraph" w:customStyle="1" w:styleId="chapternum">
    <w:name w:val="chapternum"/>
    <w:basedOn w:val="Chapter"/>
    <w:next w:val="BodyText"/>
    <w:uiPriority w:val="99"/>
    <w:rsid w:val="00F834DC"/>
    <w:pPr>
      <w:numPr>
        <w:numId w:val="13"/>
      </w:numPr>
    </w:pPr>
  </w:style>
  <w:style w:type="paragraph" w:customStyle="1" w:styleId="style1">
    <w:name w:val="style1"/>
    <w:basedOn w:val="Normal"/>
    <w:uiPriority w:val="99"/>
    <w:rsid w:val="00F834DC"/>
    <w:pPr>
      <w:spacing w:before="100" w:beforeAutospacing="1" w:after="100" w:afterAutospacing="1" w:line="240" w:lineRule="auto"/>
    </w:pPr>
    <w:rPr>
      <w:szCs w:val="24"/>
      <w:lang w:eastAsia="en-US"/>
    </w:rPr>
  </w:style>
  <w:style w:type="paragraph" w:customStyle="1" w:styleId="Certificate">
    <w:name w:val="Certificate"/>
    <w:basedOn w:val="Normal"/>
    <w:link w:val="CertificateChar"/>
    <w:uiPriority w:val="99"/>
    <w:rsid w:val="00F834DC"/>
    <w:pPr>
      <w:autoSpaceDE w:val="0"/>
      <w:autoSpaceDN w:val="0"/>
      <w:adjustRightInd w:val="0"/>
      <w:spacing w:before="0" w:line="240" w:lineRule="auto"/>
      <w:jc w:val="center"/>
    </w:pPr>
    <w:rPr>
      <w:rFonts w:ascii="Arial" w:hAnsi="Arial" w:cs="Arial"/>
      <w:szCs w:val="24"/>
      <w:lang w:eastAsia="en-US"/>
    </w:rPr>
  </w:style>
  <w:style w:type="character" w:customStyle="1" w:styleId="CertificateChar">
    <w:name w:val="Certificate Char"/>
    <w:basedOn w:val="DefaultParagraphFont"/>
    <w:link w:val="Certificate"/>
    <w:uiPriority w:val="99"/>
    <w:locked/>
    <w:rsid w:val="00F834DC"/>
    <w:rPr>
      <w:rFonts w:ascii="Arial" w:eastAsia="Times New Roman" w:hAnsi="Arial" w:cs="Arial"/>
      <w:sz w:val="24"/>
      <w:szCs w:val="24"/>
      <w:lang w:val="en-US"/>
    </w:rPr>
  </w:style>
  <w:style w:type="paragraph" w:styleId="NoSpacing">
    <w:name w:val="No Spacing"/>
    <w:uiPriority w:val="1"/>
    <w:qFormat/>
    <w:rsid w:val="00F834DC"/>
    <w:pPr>
      <w:spacing w:after="0" w:line="240" w:lineRule="auto"/>
    </w:pPr>
    <w:rPr>
      <w:rFonts w:ascii="Calibri" w:eastAsia="Times New Roman" w:hAnsi="Calibri" w:cs="Times New Roman"/>
    </w:rPr>
  </w:style>
  <w:style w:type="paragraph" w:styleId="TOCHeading">
    <w:name w:val="TOC Heading"/>
    <w:basedOn w:val="Heading1"/>
    <w:next w:val="Normal"/>
    <w:uiPriority w:val="39"/>
    <w:qFormat/>
    <w:rsid w:val="00F834DC"/>
    <w:pPr>
      <w:keepLines/>
      <w:numPr>
        <w:numId w:val="0"/>
      </w:numPr>
      <w:spacing w:before="480" w:after="0" w:line="276" w:lineRule="auto"/>
      <w:outlineLvl w:val="9"/>
    </w:pPr>
    <w:rPr>
      <w:rFonts w:ascii="Cambria" w:hAnsi="Cambria" w:cs="Times New Roman"/>
      <w:b/>
      <w:color w:val="365F91"/>
      <w:kern w:val="0"/>
      <w:sz w:val="28"/>
      <w:szCs w:val="28"/>
      <w:lang w:eastAsia="en-US"/>
    </w:rPr>
  </w:style>
  <w:style w:type="paragraph" w:customStyle="1" w:styleId="Normal1">
    <w:name w:val="Normal1"/>
    <w:rsid w:val="00F834DC"/>
    <w:pPr>
      <w:widowControl w:val="0"/>
    </w:pPr>
    <w:rPr>
      <w:rFonts w:ascii="Calibri" w:eastAsia="Calibri" w:hAnsi="Calibri" w:cs="Calibri"/>
      <w:color w:val="000000"/>
    </w:rPr>
  </w:style>
  <w:style w:type="paragraph" w:styleId="ListParagraph">
    <w:name w:val="List Paragraph"/>
    <w:basedOn w:val="Normal"/>
    <w:uiPriority w:val="34"/>
    <w:qFormat/>
    <w:rsid w:val="00F834DC"/>
    <w:pPr>
      <w:spacing w:before="0" w:after="160" w:line="259" w:lineRule="auto"/>
      <w:ind w:left="720"/>
      <w:contextualSpacing/>
    </w:pPr>
    <w:rPr>
      <w:rFonts w:asciiTheme="minorHAnsi" w:eastAsiaTheme="minorHAnsi" w:hAnsiTheme="minorHAnsi" w:cstheme="minorBidi"/>
      <w:sz w:val="22"/>
      <w:szCs w:val="22"/>
      <w:lang w:val="en-CA" w:eastAsia="en-US"/>
    </w:rPr>
  </w:style>
  <w:style w:type="character" w:styleId="Strong">
    <w:name w:val="Strong"/>
    <w:basedOn w:val="DefaultParagraphFont"/>
    <w:uiPriority w:val="22"/>
    <w:qFormat/>
    <w:rsid w:val="00F834DC"/>
    <w:rPr>
      <w:b/>
      <w:bCs/>
    </w:rPr>
  </w:style>
  <w:style w:type="character" w:customStyle="1" w:styleId="apple-converted-space">
    <w:name w:val="apple-converted-space"/>
    <w:basedOn w:val="DefaultParagraphFont"/>
    <w:rsid w:val="00F834DC"/>
  </w:style>
  <w:style w:type="character" w:styleId="Emphasis">
    <w:name w:val="Emphasis"/>
    <w:basedOn w:val="DefaultParagraphFont"/>
    <w:uiPriority w:val="20"/>
    <w:qFormat/>
    <w:rsid w:val="00F834DC"/>
    <w:rPr>
      <w:i/>
      <w:iCs/>
    </w:rPr>
  </w:style>
  <w:style w:type="paragraph" w:styleId="Quote">
    <w:name w:val="Quote"/>
    <w:basedOn w:val="Normal"/>
    <w:next w:val="Normal"/>
    <w:link w:val="QuoteChar"/>
    <w:uiPriority w:val="29"/>
    <w:qFormat/>
    <w:rsid w:val="00F834DC"/>
    <w:pPr>
      <w:spacing w:before="120" w:after="120" w:line="259" w:lineRule="auto"/>
      <w:ind w:left="720"/>
    </w:pPr>
    <w:rPr>
      <w:rFonts w:asciiTheme="minorHAnsi" w:eastAsiaTheme="minorEastAsia" w:hAnsiTheme="minorHAnsi" w:cstheme="minorBidi"/>
      <w:color w:val="44546A" w:themeColor="text2"/>
      <w:szCs w:val="24"/>
      <w:lang w:val="en-CA" w:eastAsia="en-US"/>
    </w:rPr>
  </w:style>
  <w:style w:type="character" w:customStyle="1" w:styleId="QuoteChar">
    <w:name w:val="Quote Char"/>
    <w:basedOn w:val="DefaultParagraphFont"/>
    <w:link w:val="Quote"/>
    <w:uiPriority w:val="29"/>
    <w:rsid w:val="00F834DC"/>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834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CA" w:eastAsia="en-US"/>
    </w:rPr>
  </w:style>
  <w:style w:type="character" w:customStyle="1" w:styleId="IntenseQuoteChar">
    <w:name w:val="Intense Quote Char"/>
    <w:basedOn w:val="DefaultParagraphFont"/>
    <w:link w:val="IntenseQuote"/>
    <w:uiPriority w:val="30"/>
    <w:rsid w:val="00F834D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834DC"/>
    <w:rPr>
      <w:i/>
      <w:iCs/>
      <w:color w:val="595959" w:themeColor="text1" w:themeTint="A6"/>
    </w:rPr>
  </w:style>
  <w:style w:type="character" w:styleId="IntenseEmphasis">
    <w:name w:val="Intense Emphasis"/>
    <w:basedOn w:val="DefaultParagraphFont"/>
    <w:uiPriority w:val="21"/>
    <w:qFormat/>
    <w:rsid w:val="00F834DC"/>
    <w:rPr>
      <w:b/>
      <w:bCs/>
      <w:i/>
      <w:iCs/>
    </w:rPr>
  </w:style>
  <w:style w:type="character" w:styleId="SubtleReference">
    <w:name w:val="Subtle Reference"/>
    <w:basedOn w:val="DefaultParagraphFont"/>
    <w:uiPriority w:val="31"/>
    <w:qFormat/>
    <w:rsid w:val="00F834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834DC"/>
    <w:rPr>
      <w:b/>
      <w:bCs/>
      <w:smallCaps/>
      <w:color w:val="44546A" w:themeColor="text2"/>
      <w:u w:val="single"/>
    </w:rPr>
  </w:style>
  <w:style w:type="character" w:styleId="BookTitle">
    <w:name w:val="Book Title"/>
    <w:basedOn w:val="DefaultParagraphFont"/>
    <w:uiPriority w:val="33"/>
    <w:qFormat/>
    <w:rsid w:val="00F834DC"/>
    <w:rPr>
      <w:b/>
      <w:bCs/>
      <w:smallCaps/>
      <w:spacing w:val="10"/>
    </w:rPr>
  </w:style>
  <w:style w:type="character" w:customStyle="1" w:styleId="ref-text">
    <w:name w:val="ref-text"/>
    <w:basedOn w:val="DefaultParagraphFont"/>
    <w:rsid w:val="00F834DC"/>
  </w:style>
  <w:style w:type="table" w:customStyle="1" w:styleId="TableGrid1">
    <w:name w:val="Table Grid1"/>
    <w:basedOn w:val="TableNormal"/>
    <w:next w:val="TableGrid"/>
    <w:uiPriority w:val="39"/>
    <w:rsid w:val="00F834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83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57A3B"/>
    <w:rPr>
      <w:sz w:val="16"/>
      <w:szCs w:val="16"/>
    </w:rPr>
  </w:style>
  <w:style w:type="paragraph" w:styleId="Revision">
    <w:name w:val="Revision"/>
    <w:hidden/>
    <w:uiPriority w:val="99"/>
    <w:semiHidden/>
    <w:rsid w:val="008305FF"/>
    <w:pPr>
      <w:spacing w:after="0" w:line="240" w:lineRule="auto"/>
    </w:pPr>
    <w:rPr>
      <w:rFonts w:ascii="Times New Roman" w:eastAsia="Times New Roman" w:hAnsi="Times New Roman" w:cs="Times New Roman"/>
      <w:sz w:val="24"/>
      <w:szCs w:val="2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DC"/>
    <w:pPr>
      <w:spacing w:before="240" w:after="0" w:line="360" w:lineRule="auto"/>
    </w:pPr>
    <w:rPr>
      <w:rFonts w:ascii="Times New Roman" w:eastAsia="Times New Roman" w:hAnsi="Times New Roman" w:cs="Times New Roman"/>
      <w:sz w:val="24"/>
      <w:szCs w:val="20"/>
      <w:lang w:val="en-US" w:eastAsia="en-CA"/>
    </w:rPr>
  </w:style>
  <w:style w:type="paragraph" w:styleId="Heading1">
    <w:name w:val="heading 1"/>
    <w:basedOn w:val="Normal"/>
    <w:next w:val="BodyText"/>
    <w:link w:val="Heading1Char"/>
    <w:uiPriority w:val="9"/>
    <w:qFormat/>
    <w:rsid w:val="00F834DC"/>
    <w:pPr>
      <w:keepNext/>
      <w:numPr>
        <w:numId w:val="2"/>
      </w:numPr>
      <w:tabs>
        <w:tab w:val="clear" w:pos="-2700"/>
        <w:tab w:val="left" w:pos="720"/>
      </w:tabs>
      <w:spacing w:after="120" w:line="240" w:lineRule="auto"/>
      <w:ind w:left="720"/>
      <w:outlineLvl w:val="0"/>
    </w:pPr>
    <w:rPr>
      <w:rFonts w:ascii="Arial" w:hAnsi="Arial" w:cs="Arial"/>
      <w:bCs/>
      <w:kern w:val="32"/>
      <w:sz w:val="32"/>
      <w:szCs w:val="36"/>
    </w:rPr>
  </w:style>
  <w:style w:type="paragraph" w:styleId="Heading2">
    <w:name w:val="heading 2"/>
    <w:basedOn w:val="Heading1"/>
    <w:next w:val="BodyText"/>
    <w:link w:val="Heading2Char"/>
    <w:uiPriority w:val="9"/>
    <w:qFormat/>
    <w:rsid w:val="00F834DC"/>
    <w:pPr>
      <w:numPr>
        <w:ilvl w:val="1"/>
      </w:numPr>
      <w:tabs>
        <w:tab w:val="num" w:pos="720"/>
      </w:tabs>
      <w:ind w:left="720" w:hanging="360"/>
      <w:outlineLvl w:val="1"/>
    </w:pPr>
    <w:rPr>
      <w:bCs w:val="0"/>
      <w:iCs/>
      <w:szCs w:val="28"/>
    </w:rPr>
  </w:style>
  <w:style w:type="paragraph" w:styleId="Heading3">
    <w:name w:val="heading 3"/>
    <w:basedOn w:val="Heading2"/>
    <w:next w:val="BodyText"/>
    <w:link w:val="Heading3Char"/>
    <w:uiPriority w:val="9"/>
    <w:qFormat/>
    <w:rsid w:val="00F834DC"/>
    <w:pPr>
      <w:numPr>
        <w:ilvl w:val="2"/>
      </w:numPr>
      <w:tabs>
        <w:tab w:val="clear" w:pos="-2700"/>
        <w:tab w:val="left" w:pos="1080"/>
      </w:tabs>
      <w:ind w:left="1080" w:hanging="1080"/>
      <w:outlineLvl w:val="2"/>
    </w:pPr>
    <w:rPr>
      <w:bCs/>
      <w:sz w:val="28"/>
    </w:rPr>
  </w:style>
  <w:style w:type="paragraph" w:styleId="Heading4">
    <w:name w:val="heading 4"/>
    <w:basedOn w:val="Heading3"/>
    <w:next w:val="BodyText"/>
    <w:link w:val="Heading4Char"/>
    <w:uiPriority w:val="9"/>
    <w:qFormat/>
    <w:rsid w:val="00F834DC"/>
    <w:pPr>
      <w:numPr>
        <w:ilvl w:val="3"/>
      </w:numPr>
      <w:tabs>
        <w:tab w:val="clear" w:pos="-1980"/>
        <w:tab w:val="clear" w:pos="1080"/>
        <w:tab w:val="num" w:pos="720"/>
        <w:tab w:val="left" w:pos="1260"/>
      </w:tabs>
      <w:ind w:left="1260" w:hanging="1260"/>
      <w:outlineLvl w:val="3"/>
    </w:pPr>
  </w:style>
  <w:style w:type="paragraph" w:styleId="Heading5">
    <w:name w:val="heading 5"/>
    <w:basedOn w:val="Heading4"/>
    <w:next w:val="Normal"/>
    <w:link w:val="Heading5Char"/>
    <w:uiPriority w:val="9"/>
    <w:qFormat/>
    <w:rsid w:val="00F834DC"/>
    <w:pPr>
      <w:numPr>
        <w:ilvl w:val="4"/>
      </w:numPr>
      <w:tabs>
        <w:tab w:val="clear" w:pos="180"/>
        <w:tab w:val="clear" w:pos="1260"/>
        <w:tab w:val="num" w:pos="720"/>
        <w:tab w:val="num" w:pos="1800"/>
      </w:tabs>
      <w:ind w:left="1800" w:hanging="1800"/>
      <w:outlineLvl w:val="4"/>
    </w:pPr>
    <w:rPr>
      <w:bCs w:val="0"/>
      <w:iCs w:val="0"/>
    </w:rPr>
  </w:style>
  <w:style w:type="paragraph" w:styleId="Heading6">
    <w:name w:val="heading 6"/>
    <w:basedOn w:val="Heading5"/>
    <w:next w:val="Normal"/>
    <w:link w:val="Heading6Char"/>
    <w:uiPriority w:val="9"/>
    <w:qFormat/>
    <w:rsid w:val="00F834DC"/>
    <w:pPr>
      <w:numPr>
        <w:ilvl w:val="5"/>
      </w:numPr>
      <w:tabs>
        <w:tab w:val="clear" w:pos="540"/>
        <w:tab w:val="num" w:pos="720"/>
      </w:tabs>
      <w:spacing w:after="60"/>
      <w:ind w:left="720" w:hanging="360"/>
      <w:outlineLvl w:val="5"/>
    </w:pPr>
    <w:rPr>
      <w:bCs/>
      <w:szCs w:val="22"/>
    </w:rPr>
  </w:style>
  <w:style w:type="paragraph" w:styleId="Heading7">
    <w:name w:val="heading 7"/>
    <w:basedOn w:val="Heading6"/>
    <w:next w:val="Normal"/>
    <w:link w:val="Heading7Char"/>
    <w:uiPriority w:val="9"/>
    <w:qFormat/>
    <w:rsid w:val="00F834DC"/>
    <w:pPr>
      <w:numPr>
        <w:ilvl w:val="6"/>
      </w:numPr>
      <w:tabs>
        <w:tab w:val="clear" w:pos="1260"/>
        <w:tab w:val="num" w:pos="720"/>
        <w:tab w:val="num" w:pos="2160"/>
      </w:tabs>
      <w:ind w:left="2160" w:hanging="2160"/>
      <w:outlineLvl w:val="6"/>
    </w:pPr>
    <w:rPr>
      <w:szCs w:val="24"/>
    </w:rPr>
  </w:style>
  <w:style w:type="paragraph" w:styleId="Heading8">
    <w:name w:val="heading 8"/>
    <w:basedOn w:val="Heading7"/>
    <w:next w:val="Normal"/>
    <w:link w:val="Heading8Char"/>
    <w:uiPriority w:val="9"/>
    <w:qFormat/>
    <w:rsid w:val="00F834DC"/>
    <w:pPr>
      <w:numPr>
        <w:ilvl w:val="7"/>
      </w:numPr>
      <w:tabs>
        <w:tab w:val="clear" w:pos="1620"/>
        <w:tab w:val="num" w:pos="720"/>
        <w:tab w:val="num" w:pos="2520"/>
      </w:tabs>
      <w:ind w:left="2520" w:hanging="2520"/>
      <w:outlineLvl w:val="7"/>
    </w:pPr>
    <w:rPr>
      <w:rFonts w:cs="Times New Roman"/>
      <w:bCs w:val="0"/>
      <w:kern w:val="0"/>
      <w:szCs w:val="28"/>
    </w:rPr>
  </w:style>
  <w:style w:type="paragraph" w:styleId="Heading9">
    <w:name w:val="heading 9"/>
    <w:basedOn w:val="Heading8"/>
    <w:next w:val="Normal"/>
    <w:link w:val="Heading9Char"/>
    <w:uiPriority w:val="9"/>
    <w:qFormat/>
    <w:rsid w:val="00F834DC"/>
    <w:pPr>
      <w:numPr>
        <w:ilvl w:val="8"/>
      </w:numPr>
      <w:tabs>
        <w:tab w:val="num" w:pos="720"/>
        <w:tab w:val="num" w:pos="1800"/>
        <w:tab w:val="num" w:pos="2880"/>
      </w:tabs>
      <w:ind w:left="2880" w:hanging="28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834DC"/>
  </w:style>
  <w:style w:type="character" w:customStyle="1" w:styleId="BodyTextChar">
    <w:name w:val="Body Text Char"/>
    <w:basedOn w:val="DefaultParagraphFont"/>
    <w:link w:val="BodyText"/>
    <w:uiPriority w:val="99"/>
    <w:rsid w:val="00F834DC"/>
    <w:rPr>
      <w:rFonts w:ascii="Times New Roman" w:eastAsia="Times New Roman" w:hAnsi="Times New Roman" w:cs="Times New Roman"/>
      <w:sz w:val="24"/>
      <w:szCs w:val="20"/>
      <w:lang w:val="en-US" w:eastAsia="en-CA"/>
    </w:rPr>
  </w:style>
  <w:style w:type="character" w:customStyle="1" w:styleId="Heading1Char">
    <w:name w:val="Heading 1 Char"/>
    <w:basedOn w:val="DefaultParagraphFont"/>
    <w:link w:val="Heading1"/>
    <w:uiPriority w:val="9"/>
    <w:rsid w:val="00F834DC"/>
    <w:rPr>
      <w:rFonts w:ascii="Arial" w:eastAsia="Times New Roman" w:hAnsi="Arial" w:cs="Arial"/>
      <w:bCs/>
      <w:kern w:val="32"/>
      <w:sz w:val="32"/>
      <w:szCs w:val="36"/>
      <w:lang w:val="en-US" w:eastAsia="en-CA"/>
    </w:rPr>
  </w:style>
  <w:style w:type="character" w:customStyle="1" w:styleId="Heading2Char">
    <w:name w:val="Heading 2 Char"/>
    <w:basedOn w:val="DefaultParagraphFont"/>
    <w:link w:val="Heading2"/>
    <w:uiPriority w:val="9"/>
    <w:rsid w:val="00F834DC"/>
    <w:rPr>
      <w:rFonts w:ascii="Arial" w:eastAsia="Times New Roman" w:hAnsi="Arial" w:cs="Arial"/>
      <w:iCs/>
      <w:kern w:val="32"/>
      <w:sz w:val="32"/>
      <w:szCs w:val="28"/>
      <w:lang w:val="en-US" w:eastAsia="en-CA"/>
    </w:rPr>
  </w:style>
  <w:style w:type="character" w:customStyle="1" w:styleId="Heading3Char">
    <w:name w:val="Heading 3 Char"/>
    <w:basedOn w:val="DefaultParagraphFont"/>
    <w:link w:val="Heading3"/>
    <w:uiPriority w:val="9"/>
    <w:rsid w:val="00F834DC"/>
    <w:rPr>
      <w:rFonts w:ascii="Arial" w:eastAsia="Times New Roman" w:hAnsi="Arial" w:cs="Arial"/>
      <w:bCs/>
      <w:iCs/>
      <w:kern w:val="32"/>
      <w:sz w:val="28"/>
      <w:szCs w:val="28"/>
      <w:lang w:val="en-US" w:eastAsia="en-CA"/>
    </w:rPr>
  </w:style>
  <w:style w:type="character" w:customStyle="1" w:styleId="Heading4Char">
    <w:name w:val="Heading 4 Char"/>
    <w:basedOn w:val="DefaultParagraphFont"/>
    <w:link w:val="Heading4"/>
    <w:uiPriority w:val="9"/>
    <w:rsid w:val="00F834DC"/>
    <w:rPr>
      <w:rFonts w:ascii="Arial" w:eastAsia="Times New Roman" w:hAnsi="Arial" w:cs="Arial"/>
      <w:bCs/>
      <w:iCs/>
      <w:kern w:val="32"/>
      <w:sz w:val="28"/>
      <w:szCs w:val="28"/>
      <w:lang w:val="en-US" w:eastAsia="en-CA"/>
    </w:rPr>
  </w:style>
  <w:style w:type="character" w:customStyle="1" w:styleId="Heading5Char">
    <w:name w:val="Heading 5 Char"/>
    <w:basedOn w:val="DefaultParagraphFont"/>
    <w:link w:val="Heading5"/>
    <w:uiPriority w:val="9"/>
    <w:rsid w:val="00F834DC"/>
    <w:rPr>
      <w:rFonts w:ascii="Arial" w:eastAsia="Times New Roman" w:hAnsi="Arial" w:cs="Arial"/>
      <w:kern w:val="32"/>
      <w:sz w:val="28"/>
      <w:szCs w:val="28"/>
      <w:lang w:val="en-US" w:eastAsia="en-CA"/>
    </w:rPr>
  </w:style>
  <w:style w:type="character" w:customStyle="1" w:styleId="Heading6Char">
    <w:name w:val="Heading 6 Char"/>
    <w:basedOn w:val="DefaultParagraphFont"/>
    <w:link w:val="Heading6"/>
    <w:uiPriority w:val="9"/>
    <w:rsid w:val="00F834DC"/>
    <w:rPr>
      <w:rFonts w:ascii="Arial" w:eastAsia="Times New Roman" w:hAnsi="Arial" w:cs="Arial"/>
      <w:bCs/>
      <w:kern w:val="32"/>
      <w:sz w:val="28"/>
      <w:lang w:val="en-US" w:eastAsia="en-CA"/>
    </w:rPr>
  </w:style>
  <w:style w:type="character" w:customStyle="1" w:styleId="Heading7Char">
    <w:name w:val="Heading 7 Char"/>
    <w:basedOn w:val="DefaultParagraphFont"/>
    <w:link w:val="Heading7"/>
    <w:uiPriority w:val="9"/>
    <w:rsid w:val="00F834DC"/>
    <w:rPr>
      <w:rFonts w:ascii="Arial" w:eastAsia="Times New Roman" w:hAnsi="Arial" w:cs="Arial"/>
      <w:bCs/>
      <w:kern w:val="32"/>
      <w:sz w:val="28"/>
      <w:szCs w:val="24"/>
      <w:lang w:val="en-US" w:eastAsia="en-CA"/>
    </w:rPr>
  </w:style>
  <w:style w:type="character" w:customStyle="1" w:styleId="Heading8Char">
    <w:name w:val="Heading 8 Char"/>
    <w:basedOn w:val="DefaultParagraphFont"/>
    <w:link w:val="Heading8"/>
    <w:uiPriority w:val="9"/>
    <w:rsid w:val="00F834DC"/>
    <w:rPr>
      <w:rFonts w:ascii="Arial" w:eastAsia="Times New Roman" w:hAnsi="Arial" w:cs="Times New Roman"/>
      <w:sz w:val="28"/>
      <w:szCs w:val="28"/>
      <w:lang w:val="en-US" w:eastAsia="en-CA"/>
    </w:rPr>
  </w:style>
  <w:style w:type="character" w:customStyle="1" w:styleId="Heading9Char">
    <w:name w:val="Heading 9 Char"/>
    <w:basedOn w:val="DefaultParagraphFont"/>
    <w:link w:val="Heading9"/>
    <w:uiPriority w:val="9"/>
    <w:rsid w:val="00F834DC"/>
    <w:rPr>
      <w:rFonts w:ascii="Arial" w:eastAsia="Times New Roman" w:hAnsi="Arial" w:cs="Times New Roman"/>
      <w:sz w:val="28"/>
      <w:szCs w:val="28"/>
      <w:lang w:val="en-US" w:eastAsia="en-CA"/>
    </w:rPr>
  </w:style>
  <w:style w:type="paragraph" w:styleId="Header">
    <w:name w:val="header"/>
    <w:basedOn w:val="Normal"/>
    <w:link w:val="HeaderChar"/>
    <w:uiPriority w:val="99"/>
    <w:rsid w:val="00F834DC"/>
    <w:pPr>
      <w:tabs>
        <w:tab w:val="center" w:pos="4320"/>
        <w:tab w:val="right" w:pos="8640"/>
      </w:tabs>
      <w:spacing w:before="0"/>
    </w:pPr>
    <w:rPr>
      <w:sz w:val="20"/>
    </w:rPr>
  </w:style>
  <w:style w:type="character" w:customStyle="1" w:styleId="HeaderChar">
    <w:name w:val="Header Char"/>
    <w:basedOn w:val="DefaultParagraphFont"/>
    <w:link w:val="Header"/>
    <w:uiPriority w:val="99"/>
    <w:rsid w:val="00F834DC"/>
    <w:rPr>
      <w:rFonts w:ascii="Times New Roman" w:eastAsia="Times New Roman" w:hAnsi="Times New Roman" w:cs="Times New Roman"/>
      <w:sz w:val="20"/>
      <w:szCs w:val="20"/>
      <w:lang w:val="en-US" w:eastAsia="en-CA"/>
    </w:rPr>
  </w:style>
  <w:style w:type="paragraph" w:styleId="Footer">
    <w:name w:val="footer"/>
    <w:basedOn w:val="Normal"/>
    <w:link w:val="FooterChar"/>
    <w:uiPriority w:val="99"/>
    <w:rsid w:val="00F834DC"/>
    <w:pPr>
      <w:tabs>
        <w:tab w:val="right" w:pos="4680"/>
        <w:tab w:val="right" w:pos="9360"/>
      </w:tabs>
      <w:spacing w:before="0"/>
    </w:pPr>
    <w:rPr>
      <w:sz w:val="20"/>
    </w:rPr>
  </w:style>
  <w:style w:type="character" w:customStyle="1" w:styleId="FooterChar">
    <w:name w:val="Footer Char"/>
    <w:basedOn w:val="DefaultParagraphFont"/>
    <w:link w:val="Footer"/>
    <w:uiPriority w:val="99"/>
    <w:rsid w:val="00F834DC"/>
    <w:rPr>
      <w:rFonts w:ascii="Times New Roman" w:eastAsia="Times New Roman" w:hAnsi="Times New Roman" w:cs="Times New Roman"/>
      <w:sz w:val="20"/>
      <w:szCs w:val="20"/>
      <w:lang w:val="en-US" w:eastAsia="en-CA"/>
    </w:rPr>
  </w:style>
  <w:style w:type="character" w:customStyle="1" w:styleId="List5Char">
    <w:name w:val="List 5 Char"/>
    <w:basedOn w:val="DefaultParagraphFont"/>
    <w:link w:val="List5"/>
    <w:uiPriority w:val="99"/>
    <w:locked/>
    <w:rsid w:val="00F834DC"/>
    <w:rPr>
      <w:sz w:val="24"/>
      <w:lang w:val="en-US"/>
    </w:rPr>
  </w:style>
  <w:style w:type="paragraph" w:styleId="List5">
    <w:name w:val="List 5"/>
    <w:basedOn w:val="Normal"/>
    <w:link w:val="List5Char"/>
    <w:uiPriority w:val="99"/>
    <w:rsid w:val="00F834DC"/>
    <w:pPr>
      <w:numPr>
        <w:numId w:val="10"/>
      </w:numPr>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semiHidden/>
    <w:rsid w:val="00F834DC"/>
    <w:rPr>
      <w:rFonts w:ascii="Times New Roman" w:eastAsia="Times New Roman" w:hAnsi="Times New Roman" w:cs="Times New Roman"/>
      <w:sz w:val="20"/>
      <w:szCs w:val="20"/>
      <w:lang w:val="en-US" w:eastAsia="en-CA"/>
    </w:rPr>
  </w:style>
  <w:style w:type="paragraph" w:styleId="FootnoteText">
    <w:name w:val="footnote text"/>
    <w:basedOn w:val="Normal"/>
    <w:link w:val="FootnoteTextChar"/>
    <w:uiPriority w:val="99"/>
    <w:semiHidden/>
    <w:rsid w:val="00F834DC"/>
    <w:pPr>
      <w:spacing w:before="0" w:after="120" w:line="240" w:lineRule="auto"/>
    </w:pPr>
    <w:rPr>
      <w:sz w:val="20"/>
    </w:rPr>
  </w:style>
  <w:style w:type="paragraph" w:customStyle="1" w:styleId="Chapter">
    <w:name w:val="Chapter"/>
    <w:basedOn w:val="Normal"/>
    <w:next w:val="Normal"/>
    <w:uiPriority w:val="99"/>
    <w:rsid w:val="00F834DC"/>
    <w:pPr>
      <w:pageBreakBefore/>
      <w:spacing w:after="240" w:line="240" w:lineRule="auto"/>
      <w:jc w:val="center"/>
      <w:outlineLvl w:val="0"/>
    </w:pPr>
    <w:rPr>
      <w:rFonts w:ascii="Arial" w:hAnsi="Arial"/>
      <w:sz w:val="32"/>
      <w:szCs w:val="28"/>
    </w:rPr>
  </w:style>
  <w:style w:type="paragraph" w:styleId="TOC1">
    <w:name w:val="toc 1"/>
    <w:basedOn w:val="Normal"/>
    <w:next w:val="Normal"/>
    <w:autoRedefine/>
    <w:uiPriority w:val="39"/>
    <w:rsid w:val="00F834DC"/>
    <w:pPr>
      <w:tabs>
        <w:tab w:val="left" w:pos="288"/>
        <w:tab w:val="right" w:leader="dot" w:pos="8630"/>
        <w:tab w:val="right" w:leader="dot" w:pos="9360"/>
      </w:tabs>
      <w:spacing w:line="240" w:lineRule="auto"/>
      <w:ind w:left="289" w:right="357" w:hanging="289"/>
    </w:pPr>
  </w:style>
  <w:style w:type="paragraph" w:customStyle="1" w:styleId="FigureCaption">
    <w:name w:val="Figure Caption"/>
    <w:basedOn w:val="Normal"/>
    <w:next w:val="Normal"/>
    <w:uiPriority w:val="99"/>
    <w:rsid w:val="00F834DC"/>
    <w:pPr>
      <w:numPr>
        <w:numId w:val="1"/>
      </w:numPr>
      <w:spacing w:after="240" w:line="240" w:lineRule="auto"/>
    </w:pPr>
    <w:rPr>
      <w:rFonts w:ascii="Arial" w:hAnsi="Arial"/>
      <w:sz w:val="18"/>
    </w:rPr>
  </w:style>
  <w:style w:type="paragraph" w:styleId="TOC2">
    <w:name w:val="toc 2"/>
    <w:basedOn w:val="TOC1"/>
    <w:next w:val="Normal"/>
    <w:autoRedefine/>
    <w:uiPriority w:val="39"/>
    <w:rsid w:val="00F834DC"/>
    <w:pPr>
      <w:tabs>
        <w:tab w:val="clear" w:pos="288"/>
        <w:tab w:val="left" w:pos="720"/>
      </w:tabs>
      <w:ind w:left="720" w:hanging="432"/>
    </w:pPr>
  </w:style>
  <w:style w:type="paragraph" w:styleId="TOC3">
    <w:name w:val="toc 3"/>
    <w:basedOn w:val="TOC1"/>
    <w:next w:val="Normal"/>
    <w:autoRedefine/>
    <w:uiPriority w:val="39"/>
    <w:rsid w:val="00F834DC"/>
    <w:pPr>
      <w:tabs>
        <w:tab w:val="clear" w:pos="288"/>
        <w:tab w:val="left" w:pos="1440"/>
      </w:tabs>
      <w:ind w:left="1440" w:hanging="720"/>
    </w:pPr>
  </w:style>
  <w:style w:type="paragraph" w:styleId="TOC4">
    <w:name w:val="toc 4"/>
    <w:basedOn w:val="TOC1"/>
    <w:next w:val="Normal"/>
    <w:autoRedefine/>
    <w:uiPriority w:val="39"/>
    <w:rsid w:val="00F834DC"/>
    <w:pPr>
      <w:tabs>
        <w:tab w:val="clear" w:pos="288"/>
        <w:tab w:val="left" w:pos="2304"/>
      </w:tabs>
      <w:ind w:left="2304" w:hanging="864"/>
    </w:pPr>
  </w:style>
  <w:style w:type="character" w:styleId="Hyperlink">
    <w:name w:val="Hyperlink"/>
    <w:basedOn w:val="DefaultParagraphFont"/>
    <w:uiPriority w:val="99"/>
    <w:rsid w:val="00F834DC"/>
    <w:rPr>
      <w:rFonts w:cs="Times New Roman"/>
      <w:color w:val="0000FF"/>
      <w:u w:val="single"/>
    </w:rPr>
  </w:style>
  <w:style w:type="paragraph" w:customStyle="1" w:styleId="forTOC">
    <w:name w:val="forTOC"/>
    <w:basedOn w:val="Normal"/>
    <w:next w:val="Normal"/>
    <w:uiPriority w:val="99"/>
    <w:rsid w:val="00F834DC"/>
    <w:pPr>
      <w:spacing w:after="240" w:line="240" w:lineRule="auto"/>
    </w:pPr>
    <w:rPr>
      <w:rFonts w:ascii="Arial" w:hAnsi="Arial"/>
      <w:sz w:val="28"/>
    </w:rPr>
  </w:style>
  <w:style w:type="paragraph" w:styleId="Caption">
    <w:name w:val="caption"/>
    <w:basedOn w:val="Normal"/>
    <w:next w:val="Normal"/>
    <w:uiPriority w:val="35"/>
    <w:qFormat/>
    <w:rsid w:val="00F834DC"/>
    <w:rPr>
      <w:b/>
      <w:bCs/>
    </w:rPr>
  </w:style>
  <w:style w:type="paragraph" w:styleId="TableofFigures">
    <w:name w:val="table of figures"/>
    <w:basedOn w:val="Normal"/>
    <w:next w:val="Normal"/>
    <w:uiPriority w:val="99"/>
    <w:rsid w:val="00F834DC"/>
  </w:style>
  <w:style w:type="paragraph" w:customStyle="1" w:styleId="captiontext">
    <w:name w:val="caption text"/>
    <w:basedOn w:val="FigureCaption"/>
    <w:next w:val="Normal"/>
    <w:uiPriority w:val="99"/>
    <w:rsid w:val="00F834DC"/>
    <w:pPr>
      <w:numPr>
        <w:numId w:val="0"/>
      </w:numPr>
    </w:pPr>
  </w:style>
  <w:style w:type="paragraph" w:styleId="ListBullet">
    <w:name w:val="List Bullet"/>
    <w:basedOn w:val="Normal"/>
    <w:rsid w:val="00F834DC"/>
    <w:pPr>
      <w:numPr>
        <w:numId w:val="12"/>
      </w:numPr>
      <w:tabs>
        <w:tab w:val="clear" w:pos="720"/>
        <w:tab w:val="num" w:pos="540"/>
      </w:tabs>
      <w:spacing w:before="60"/>
      <w:ind w:left="540"/>
    </w:pPr>
    <w:rPr>
      <w:lang w:eastAsia="en-US"/>
    </w:rPr>
  </w:style>
  <w:style w:type="paragraph" w:customStyle="1" w:styleId="quotation">
    <w:name w:val="quotation"/>
    <w:basedOn w:val="Normal"/>
    <w:next w:val="Normal"/>
    <w:uiPriority w:val="99"/>
    <w:rsid w:val="00F834DC"/>
    <w:pPr>
      <w:ind w:left="720" w:right="720"/>
    </w:pPr>
    <w:rPr>
      <w:i/>
    </w:rPr>
  </w:style>
  <w:style w:type="paragraph" w:styleId="ListBullet2">
    <w:name w:val="List Bullet 2"/>
    <w:basedOn w:val="Normal"/>
    <w:uiPriority w:val="99"/>
    <w:rsid w:val="00F834DC"/>
    <w:pPr>
      <w:numPr>
        <w:numId w:val="3"/>
      </w:numPr>
      <w:tabs>
        <w:tab w:val="clear" w:pos="1008"/>
        <w:tab w:val="num" w:pos="900"/>
      </w:tabs>
      <w:ind w:left="900"/>
    </w:pPr>
  </w:style>
  <w:style w:type="character" w:styleId="FollowedHyperlink">
    <w:name w:val="FollowedHyperlink"/>
    <w:basedOn w:val="DefaultParagraphFont"/>
    <w:uiPriority w:val="99"/>
    <w:rsid w:val="00F834DC"/>
    <w:rPr>
      <w:rFonts w:cs="Times New Roman"/>
      <w:color w:val="800080"/>
      <w:u w:val="single"/>
    </w:rPr>
  </w:style>
  <w:style w:type="character" w:customStyle="1" w:styleId="BalloonTextChar">
    <w:name w:val="Balloon Text Char"/>
    <w:basedOn w:val="DefaultParagraphFont"/>
    <w:link w:val="BalloonText"/>
    <w:uiPriority w:val="99"/>
    <w:semiHidden/>
    <w:rsid w:val="00F834DC"/>
    <w:rPr>
      <w:rFonts w:ascii="Tahoma" w:eastAsia="Times New Roman" w:hAnsi="Tahoma" w:cs="Tahoma"/>
      <w:sz w:val="16"/>
      <w:szCs w:val="16"/>
      <w:lang w:val="en-US" w:eastAsia="en-CA"/>
    </w:rPr>
  </w:style>
  <w:style w:type="paragraph" w:styleId="BalloonText">
    <w:name w:val="Balloon Text"/>
    <w:basedOn w:val="Normal"/>
    <w:link w:val="BalloonTextChar"/>
    <w:uiPriority w:val="99"/>
    <w:semiHidden/>
    <w:rsid w:val="00F834DC"/>
    <w:rPr>
      <w:rFonts w:ascii="Tahoma" w:hAnsi="Tahoma" w:cs="Tahoma"/>
      <w:sz w:val="16"/>
      <w:szCs w:val="16"/>
    </w:rPr>
  </w:style>
  <w:style w:type="paragraph" w:styleId="BlockText">
    <w:name w:val="Block Text"/>
    <w:basedOn w:val="Normal"/>
    <w:uiPriority w:val="99"/>
    <w:rsid w:val="00F834DC"/>
    <w:pPr>
      <w:spacing w:after="120"/>
      <w:ind w:left="1440" w:right="1440"/>
    </w:pPr>
  </w:style>
  <w:style w:type="paragraph" w:styleId="BodyTextIndent">
    <w:name w:val="Body Text Indent"/>
    <w:basedOn w:val="Normal"/>
    <w:link w:val="BodyTextIndentChar"/>
    <w:uiPriority w:val="99"/>
    <w:rsid w:val="00F834DC"/>
    <w:pPr>
      <w:spacing w:after="120"/>
      <w:ind w:left="360"/>
    </w:pPr>
  </w:style>
  <w:style w:type="character" w:customStyle="1" w:styleId="BodyTextIndentChar">
    <w:name w:val="Body Text Indent Char"/>
    <w:basedOn w:val="DefaultParagraphFont"/>
    <w:link w:val="BodyTextIndent"/>
    <w:uiPriority w:val="99"/>
    <w:rsid w:val="00F834DC"/>
    <w:rPr>
      <w:rFonts w:ascii="Times New Roman" w:eastAsia="Times New Roman" w:hAnsi="Times New Roman" w:cs="Times New Roman"/>
      <w:sz w:val="24"/>
      <w:szCs w:val="20"/>
      <w:lang w:val="en-US" w:eastAsia="en-CA"/>
    </w:rPr>
  </w:style>
  <w:style w:type="paragraph" w:customStyle="1" w:styleId="Department">
    <w:name w:val="Department"/>
    <w:basedOn w:val="BodyText"/>
    <w:uiPriority w:val="99"/>
    <w:rsid w:val="00F834DC"/>
    <w:pPr>
      <w:spacing w:before="120" w:line="240" w:lineRule="auto"/>
      <w:jc w:val="center"/>
    </w:pPr>
    <w:rPr>
      <w:rFonts w:ascii="Arial" w:hAnsi="Arial"/>
    </w:rPr>
  </w:style>
  <w:style w:type="character" w:customStyle="1" w:styleId="CommentTextChar">
    <w:name w:val="Comment Text Char"/>
    <w:basedOn w:val="DefaultParagraphFont"/>
    <w:link w:val="CommentText"/>
    <w:uiPriority w:val="99"/>
    <w:semiHidden/>
    <w:rsid w:val="00F834DC"/>
    <w:rPr>
      <w:rFonts w:ascii="Times New Roman" w:eastAsia="Times New Roman" w:hAnsi="Times New Roman" w:cs="Times New Roman"/>
      <w:sz w:val="24"/>
      <w:szCs w:val="20"/>
      <w:lang w:val="en-US" w:eastAsia="en-CA"/>
    </w:rPr>
  </w:style>
  <w:style w:type="paragraph" w:styleId="CommentText">
    <w:name w:val="annotation text"/>
    <w:basedOn w:val="Normal"/>
    <w:link w:val="CommentTextChar"/>
    <w:uiPriority w:val="99"/>
    <w:semiHidden/>
    <w:rsid w:val="00F834DC"/>
  </w:style>
  <w:style w:type="character" w:customStyle="1" w:styleId="CommentSubjectChar">
    <w:name w:val="Comment Subject Char"/>
    <w:basedOn w:val="CommentTextChar"/>
    <w:link w:val="CommentSubject"/>
    <w:uiPriority w:val="99"/>
    <w:semiHidden/>
    <w:rsid w:val="00F834DC"/>
    <w:rPr>
      <w:rFonts w:ascii="Times New Roman" w:eastAsia="Times New Roman" w:hAnsi="Times New Roman" w:cs="Times New Roman"/>
      <w:b/>
      <w:bCs/>
      <w:sz w:val="24"/>
      <w:szCs w:val="20"/>
      <w:lang w:val="en-US" w:eastAsia="en-CA"/>
    </w:rPr>
  </w:style>
  <w:style w:type="paragraph" w:styleId="CommentSubject">
    <w:name w:val="annotation subject"/>
    <w:basedOn w:val="CommentText"/>
    <w:next w:val="CommentText"/>
    <w:link w:val="CommentSubjectChar"/>
    <w:uiPriority w:val="99"/>
    <w:semiHidden/>
    <w:rsid w:val="00F834DC"/>
    <w:rPr>
      <w:b/>
      <w:bCs/>
    </w:rPr>
  </w:style>
  <w:style w:type="character" w:customStyle="1" w:styleId="DocumentMapChar">
    <w:name w:val="Document Map Char"/>
    <w:basedOn w:val="DefaultParagraphFont"/>
    <w:link w:val="DocumentMap"/>
    <w:uiPriority w:val="99"/>
    <w:semiHidden/>
    <w:rsid w:val="00F834DC"/>
    <w:rPr>
      <w:rFonts w:ascii="Tahoma" w:eastAsia="Times New Roman" w:hAnsi="Tahoma" w:cs="Tahoma"/>
      <w:sz w:val="24"/>
      <w:szCs w:val="20"/>
      <w:shd w:val="clear" w:color="auto" w:fill="000080"/>
      <w:lang w:val="en-US" w:eastAsia="en-CA"/>
    </w:rPr>
  </w:style>
  <w:style w:type="paragraph" w:styleId="DocumentMap">
    <w:name w:val="Document Map"/>
    <w:basedOn w:val="Normal"/>
    <w:link w:val="DocumentMapChar"/>
    <w:uiPriority w:val="99"/>
    <w:semiHidden/>
    <w:rsid w:val="00F834DC"/>
    <w:pPr>
      <w:shd w:val="clear" w:color="auto" w:fill="000080"/>
    </w:pPr>
    <w:rPr>
      <w:rFonts w:ascii="Tahoma" w:hAnsi="Tahoma" w:cs="Tahoma"/>
    </w:rPr>
  </w:style>
  <w:style w:type="character" w:customStyle="1" w:styleId="EndnoteTextChar">
    <w:name w:val="Endnote Text Char"/>
    <w:basedOn w:val="DefaultParagraphFont"/>
    <w:link w:val="EndnoteText"/>
    <w:uiPriority w:val="99"/>
    <w:semiHidden/>
    <w:rsid w:val="00F834DC"/>
    <w:rPr>
      <w:rFonts w:ascii="Times New Roman" w:eastAsia="Times New Roman" w:hAnsi="Times New Roman" w:cs="Times New Roman"/>
      <w:sz w:val="24"/>
      <w:szCs w:val="20"/>
      <w:lang w:val="en-US" w:eastAsia="en-CA"/>
    </w:rPr>
  </w:style>
  <w:style w:type="paragraph" w:styleId="EndnoteText">
    <w:name w:val="endnote text"/>
    <w:basedOn w:val="Normal"/>
    <w:link w:val="EndnoteTextChar"/>
    <w:uiPriority w:val="99"/>
    <w:semiHidden/>
    <w:rsid w:val="00F834DC"/>
  </w:style>
  <w:style w:type="paragraph" w:styleId="HTMLAddress">
    <w:name w:val="HTML Address"/>
    <w:basedOn w:val="Normal"/>
    <w:link w:val="HTMLAddressChar"/>
    <w:uiPriority w:val="99"/>
    <w:rsid w:val="00F834DC"/>
    <w:rPr>
      <w:i/>
      <w:iCs/>
    </w:rPr>
  </w:style>
  <w:style w:type="character" w:customStyle="1" w:styleId="HTMLAddressChar">
    <w:name w:val="HTML Address Char"/>
    <w:basedOn w:val="DefaultParagraphFont"/>
    <w:link w:val="HTMLAddress"/>
    <w:uiPriority w:val="99"/>
    <w:rsid w:val="00F834DC"/>
    <w:rPr>
      <w:rFonts w:ascii="Times New Roman" w:eastAsia="Times New Roman" w:hAnsi="Times New Roman" w:cs="Times New Roman"/>
      <w:i/>
      <w:iCs/>
      <w:sz w:val="24"/>
      <w:szCs w:val="20"/>
      <w:lang w:val="en-US" w:eastAsia="en-CA"/>
    </w:rPr>
  </w:style>
  <w:style w:type="paragraph" w:styleId="HTMLPreformatted">
    <w:name w:val="HTML Preformatted"/>
    <w:basedOn w:val="Normal"/>
    <w:link w:val="HTMLPreformattedChar"/>
    <w:uiPriority w:val="99"/>
    <w:rsid w:val="00F834DC"/>
    <w:rPr>
      <w:rFonts w:ascii="Courier New" w:hAnsi="Courier New" w:cs="Courier New"/>
    </w:rPr>
  </w:style>
  <w:style w:type="character" w:customStyle="1" w:styleId="HTMLPreformattedChar">
    <w:name w:val="HTML Preformatted Char"/>
    <w:basedOn w:val="DefaultParagraphFont"/>
    <w:link w:val="HTMLPreformatted"/>
    <w:uiPriority w:val="99"/>
    <w:rsid w:val="00F834DC"/>
    <w:rPr>
      <w:rFonts w:ascii="Courier New" w:eastAsia="Times New Roman" w:hAnsi="Courier New" w:cs="Courier New"/>
      <w:sz w:val="24"/>
      <w:szCs w:val="20"/>
      <w:lang w:val="en-US" w:eastAsia="en-CA"/>
    </w:rPr>
  </w:style>
  <w:style w:type="paragraph" w:styleId="List">
    <w:name w:val="List"/>
    <w:basedOn w:val="Normal"/>
    <w:uiPriority w:val="99"/>
    <w:rsid w:val="00F834DC"/>
    <w:pPr>
      <w:numPr>
        <w:numId w:val="11"/>
      </w:numPr>
      <w:tabs>
        <w:tab w:val="clear" w:pos="1291"/>
        <w:tab w:val="num" w:pos="540"/>
      </w:tabs>
      <w:ind w:left="540"/>
    </w:pPr>
  </w:style>
  <w:style w:type="paragraph" w:styleId="List2">
    <w:name w:val="List 2"/>
    <w:basedOn w:val="Normal"/>
    <w:uiPriority w:val="99"/>
    <w:rsid w:val="00F834DC"/>
    <w:pPr>
      <w:numPr>
        <w:numId w:val="7"/>
      </w:numPr>
      <w:tabs>
        <w:tab w:val="clear" w:pos="931"/>
        <w:tab w:val="num" w:pos="900"/>
      </w:tabs>
      <w:ind w:left="900"/>
    </w:pPr>
  </w:style>
  <w:style w:type="paragraph" w:styleId="List3">
    <w:name w:val="List 3"/>
    <w:basedOn w:val="Normal"/>
    <w:uiPriority w:val="99"/>
    <w:rsid w:val="00F834DC"/>
    <w:pPr>
      <w:numPr>
        <w:numId w:val="8"/>
      </w:numPr>
      <w:tabs>
        <w:tab w:val="clear" w:pos="1291"/>
        <w:tab w:val="num" w:pos="1260"/>
      </w:tabs>
      <w:ind w:left="1260"/>
    </w:pPr>
  </w:style>
  <w:style w:type="paragraph" w:styleId="List4">
    <w:name w:val="List 4"/>
    <w:basedOn w:val="Normal"/>
    <w:link w:val="List4Char"/>
    <w:uiPriority w:val="99"/>
    <w:rsid w:val="00F834DC"/>
    <w:pPr>
      <w:numPr>
        <w:numId w:val="9"/>
      </w:numPr>
      <w:tabs>
        <w:tab w:val="clear" w:pos="1651"/>
        <w:tab w:val="num" w:pos="1620"/>
      </w:tabs>
      <w:ind w:hanging="391"/>
    </w:pPr>
  </w:style>
  <w:style w:type="character" w:customStyle="1" w:styleId="List4Char">
    <w:name w:val="List 4 Char"/>
    <w:basedOn w:val="DefaultParagraphFont"/>
    <w:link w:val="List4"/>
    <w:uiPriority w:val="99"/>
    <w:locked/>
    <w:rsid w:val="00F834DC"/>
    <w:rPr>
      <w:rFonts w:ascii="Times New Roman" w:eastAsia="Times New Roman" w:hAnsi="Times New Roman" w:cs="Times New Roman"/>
      <w:sz w:val="24"/>
      <w:szCs w:val="20"/>
      <w:lang w:val="en-US" w:eastAsia="en-CA"/>
    </w:rPr>
  </w:style>
  <w:style w:type="paragraph" w:styleId="ListBullet3">
    <w:name w:val="List Bullet 3"/>
    <w:basedOn w:val="Normal"/>
    <w:next w:val="Normal"/>
    <w:uiPriority w:val="99"/>
    <w:rsid w:val="00F834DC"/>
    <w:pPr>
      <w:numPr>
        <w:numId w:val="4"/>
      </w:numPr>
      <w:tabs>
        <w:tab w:val="clear" w:pos="1800"/>
        <w:tab w:val="num" w:pos="1260"/>
      </w:tabs>
      <w:ind w:hanging="900"/>
    </w:pPr>
  </w:style>
  <w:style w:type="paragraph" w:styleId="ListBullet4">
    <w:name w:val="List Bullet 4"/>
    <w:basedOn w:val="Normal"/>
    <w:uiPriority w:val="99"/>
    <w:rsid w:val="00F834DC"/>
    <w:pPr>
      <w:numPr>
        <w:numId w:val="5"/>
      </w:numPr>
      <w:tabs>
        <w:tab w:val="left" w:pos="1368"/>
      </w:tabs>
    </w:pPr>
  </w:style>
  <w:style w:type="paragraph" w:styleId="ListBullet5">
    <w:name w:val="List Bullet 5"/>
    <w:basedOn w:val="Normal"/>
    <w:uiPriority w:val="99"/>
    <w:rsid w:val="00F834DC"/>
    <w:pPr>
      <w:numPr>
        <w:numId w:val="6"/>
      </w:numPr>
      <w:tabs>
        <w:tab w:val="left" w:pos="1728"/>
      </w:tabs>
    </w:pPr>
  </w:style>
  <w:style w:type="paragraph" w:styleId="ListContinue">
    <w:name w:val="List Continue"/>
    <w:basedOn w:val="Normal"/>
    <w:uiPriority w:val="99"/>
    <w:rsid w:val="00F834DC"/>
    <w:pPr>
      <w:spacing w:after="120"/>
      <w:ind w:left="360"/>
    </w:pPr>
  </w:style>
  <w:style w:type="paragraph" w:styleId="ListContinue2">
    <w:name w:val="List Continue 2"/>
    <w:basedOn w:val="Normal"/>
    <w:uiPriority w:val="99"/>
    <w:rsid w:val="00F834DC"/>
    <w:pPr>
      <w:spacing w:after="120"/>
      <w:ind w:left="720"/>
    </w:pPr>
  </w:style>
  <w:style w:type="paragraph" w:styleId="ListContinue3">
    <w:name w:val="List Continue 3"/>
    <w:basedOn w:val="Normal"/>
    <w:uiPriority w:val="99"/>
    <w:rsid w:val="00F834DC"/>
    <w:pPr>
      <w:spacing w:after="120"/>
      <w:ind w:left="1080"/>
    </w:pPr>
  </w:style>
  <w:style w:type="paragraph" w:styleId="ListContinue4">
    <w:name w:val="List Continue 4"/>
    <w:basedOn w:val="Normal"/>
    <w:uiPriority w:val="99"/>
    <w:rsid w:val="00F834DC"/>
    <w:pPr>
      <w:spacing w:after="120"/>
      <w:ind w:left="1440"/>
    </w:pPr>
  </w:style>
  <w:style w:type="paragraph" w:styleId="ListContinue5">
    <w:name w:val="List Continue 5"/>
    <w:basedOn w:val="Normal"/>
    <w:uiPriority w:val="99"/>
    <w:rsid w:val="00F834DC"/>
    <w:pPr>
      <w:spacing w:after="120"/>
      <w:ind w:left="1800"/>
    </w:pPr>
  </w:style>
  <w:style w:type="character" w:customStyle="1" w:styleId="MacroTextChar">
    <w:name w:val="Macro Text Char"/>
    <w:basedOn w:val="DefaultParagraphFont"/>
    <w:link w:val="MacroText"/>
    <w:uiPriority w:val="99"/>
    <w:semiHidden/>
    <w:rsid w:val="00F834DC"/>
    <w:rPr>
      <w:rFonts w:ascii="Courier New" w:eastAsia="Times New Roman" w:hAnsi="Courier New" w:cs="Courier New"/>
      <w:sz w:val="20"/>
      <w:szCs w:val="20"/>
      <w:lang w:val="en-US" w:eastAsia="en-CA"/>
    </w:rPr>
  </w:style>
  <w:style w:type="paragraph" w:styleId="MacroText">
    <w:name w:val="macro"/>
    <w:link w:val="MacroTextChar"/>
    <w:uiPriority w:val="99"/>
    <w:semiHidden/>
    <w:rsid w:val="00F834DC"/>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Courier New"/>
      <w:sz w:val="20"/>
      <w:szCs w:val="20"/>
      <w:lang w:val="en-US" w:eastAsia="en-CA"/>
    </w:rPr>
  </w:style>
  <w:style w:type="paragraph" w:customStyle="1" w:styleId="Abstracttext">
    <w:name w:val="Abstract text"/>
    <w:basedOn w:val="Normal"/>
    <w:uiPriority w:val="99"/>
    <w:rsid w:val="00F834DC"/>
    <w:pPr>
      <w:spacing w:line="480" w:lineRule="auto"/>
    </w:pPr>
  </w:style>
  <w:style w:type="paragraph" w:styleId="NormalWeb">
    <w:name w:val="Normal (Web)"/>
    <w:basedOn w:val="Normal"/>
    <w:uiPriority w:val="99"/>
    <w:rsid w:val="00F834DC"/>
    <w:rPr>
      <w:szCs w:val="24"/>
    </w:rPr>
  </w:style>
  <w:style w:type="paragraph" w:styleId="NormalIndent">
    <w:name w:val="Normal Indent"/>
    <w:basedOn w:val="Normal"/>
    <w:uiPriority w:val="99"/>
    <w:rsid w:val="00F834DC"/>
    <w:pPr>
      <w:ind w:left="720"/>
    </w:pPr>
  </w:style>
  <w:style w:type="paragraph" w:styleId="NoteHeading">
    <w:name w:val="Note Heading"/>
    <w:basedOn w:val="Normal"/>
    <w:next w:val="Normal"/>
    <w:link w:val="NoteHeadingChar"/>
    <w:uiPriority w:val="99"/>
    <w:rsid w:val="00F834DC"/>
  </w:style>
  <w:style w:type="character" w:customStyle="1" w:styleId="NoteHeadingChar">
    <w:name w:val="Note Heading Char"/>
    <w:basedOn w:val="DefaultParagraphFont"/>
    <w:link w:val="NoteHeading"/>
    <w:uiPriority w:val="99"/>
    <w:rsid w:val="00F834DC"/>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rsid w:val="00F834DC"/>
    <w:rPr>
      <w:rFonts w:ascii="Courier New" w:hAnsi="Courier New" w:cs="Courier New"/>
    </w:rPr>
  </w:style>
  <w:style w:type="character" w:customStyle="1" w:styleId="PlainTextChar">
    <w:name w:val="Plain Text Char"/>
    <w:basedOn w:val="DefaultParagraphFont"/>
    <w:link w:val="PlainText"/>
    <w:uiPriority w:val="99"/>
    <w:rsid w:val="00F834DC"/>
    <w:rPr>
      <w:rFonts w:ascii="Courier New" w:eastAsia="Times New Roman" w:hAnsi="Courier New" w:cs="Courier New"/>
      <w:sz w:val="24"/>
      <w:szCs w:val="20"/>
      <w:lang w:val="en-US" w:eastAsia="en-CA"/>
    </w:rPr>
  </w:style>
  <w:style w:type="paragraph" w:styleId="Subtitle">
    <w:name w:val="Subtitle"/>
    <w:basedOn w:val="Normal"/>
    <w:link w:val="SubtitleChar"/>
    <w:uiPriority w:val="11"/>
    <w:qFormat/>
    <w:rsid w:val="00F834DC"/>
    <w:pPr>
      <w:spacing w:before="1800" w:line="240" w:lineRule="auto"/>
      <w:jc w:val="center"/>
    </w:pPr>
    <w:rPr>
      <w:rFonts w:ascii="Arial" w:hAnsi="Arial" w:cs="Arial"/>
      <w:szCs w:val="24"/>
    </w:rPr>
  </w:style>
  <w:style w:type="character" w:customStyle="1" w:styleId="SubtitleChar">
    <w:name w:val="Subtitle Char"/>
    <w:basedOn w:val="DefaultParagraphFont"/>
    <w:link w:val="Subtitle"/>
    <w:uiPriority w:val="11"/>
    <w:rsid w:val="00F834DC"/>
    <w:rPr>
      <w:rFonts w:ascii="Arial" w:eastAsia="Times New Roman" w:hAnsi="Arial" w:cs="Arial"/>
      <w:sz w:val="24"/>
      <w:szCs w:val="24"/>
      <w:lang w:val="en-US" w:eastAsia="en-CA"/>
    </w:rPr>
  </w:style>
  <w:style w:type="paragraph" w:styleId="Title">
    <w:name w:val="Title"/>
    <w:basedOn w:val="Normal"/>
    <w:next w:val="Subtitle"/>
    <w:link w:val="TitleChar"/>
    <w:autoRedefine/>
    <w:uiPriority w:val="10"/>
    <w:qFormat/>
    <w:rsid w:val="00F834DC"/>
    <w:pPr>
      <w:spacing w:before="2160" w:line="240" w:lineRule="auto"/>
      <w:jc w:val="center"/>
    </w:pPr>
    <w:rPr>
      <w:rFonts w:ascii="Arial" w:hAnsi="Arial"/>
      <w:szCs w:val="24"/>
    </w:rPr>
  </w:style>
  <w:style w:type="character" w:customStyle="1" w:styleId="TitleChar">
    <w:name w:val="Title Char"/>
    <w:basedOn w:val="DefaultParagraphFont"/>
    <w:link w:val="Title"/>
    <w:uiPriority w:val="10"/>
    <w:rsid w:val="00F834DC"/>
    <w:rPr>
      <w:rFonts w:ascii="Arial" w:eastAsia="Times New Roman" w:hAnsi="Arial" w:cs="Times New Roman"/>
      <w:sz w:val="24"/>
      <w:szCs w:val="24"/>
      <w:lang w:val="en-US" w:eastAsia="en-CA"/>
    </w:rPr>
  </w:style>
  <w:style w:type="paragraph" w:styleId="TOC5">
    <w:name w:val="toc 5"/>
    <w:basedOn w:val="Normal"/>
    <w:next w:val="Normal"/>
    <w:autoRedefine/>
    <w:uiPriority w:val="39"/>
    <w:rsid w:val="00F834DC"/>
    <w:pPr>
      <w:ind w:left="800"/>
    </w:pPr>
  </w:style>
  <w:style w:type="paragraph" w:styleId="TOC6">
    <w:name w:val="toc 6"/>
    <w:basedOn w:val="Normal"/>
    <w:next w:val="Normal"/>
    <w:autoRedefine/>
    <w:uiPriority w:val="39"/>
    <w:rsid w:val="00F834DC"/>
    <w:pPr>
      <w:ind w:left="1000"/>
    </w:pPr>
  </w:style>
  <w:style w:type="paragraph" w:styleId="TOC7">
    <w:name w:val="toc 7"/>
    <w:basedOn w:val="Normal"/>
    <w:next w:val="Normal"/>
    <w:autoRedefine/>
    <w:uiPriority w:val="39"/>
    <w:rsid w:val="00F834DC"/>
    <w:pPr>
      <w:ind w:left="1200"/>
    </w:pPr>
  </w:style>
  <w:style w:type="paragraph" w:styleId="TOC8">
    <w:name w:val="toc 8"/>
    <w:basedOn w:val="Normal"/>
    <w:next w:val="Normal"/>
    <w:autoRedefine/>
    <w:uiPriority w:val="39"/>
    <w:rsid w:val="00F834DC"/>
    <w:pPr>
      <w:ind w:left="1400"/>
    </w:pPr>
  </w:style>
  <w:style w:type="paragraph" w:styleId="TOC9">
    <w:name w:val="toc 9"/>
    <w:basedOn w:val="Normal"/>
    <w:next w:val="Normal"/>
    <w:autoRedefine/>
    <w:uiPriority w:val="39"/>
    <w:rsid w:val="00F834DC"/>
    <w:pPr>
      <w:ind w:left="1600"/>
    </w:pPr>
  </w:style>
  <w:style w:type="paragraph" w:customStyle="1" w:styleId="Abstract">
    <w:name w:val="Abstract"/>
    <w:basedOn w:val="Abstracttitle"/>
    <w:next w:val="Abstracttext"/>
    <w:uiPriority w:val="99"/>
    <w:rsid w:val="00F834DC"/>
    <w:pPr>
      <w:jc w:val="left"/>
    </w:pPr>
    <w:rPr>
      <w:szCs w:val="32"/>
    </w:rPr>
  </w:style>
  <w:style w:type="paragraph" w:customStyle="1" w:styleId="Abstracttitle">
    <w:name w:val="Abstract title"/>
    <w:basedOn w:val="Normal"/>
    <w:uiPriority w:val="99"/>
    <w:rsid w:val="00F834DC"/>
    <w:pPr>
      <w:jc w:val="center"/>
    </w:pPr>
    <w:rPr>
      <w:rFonts w:ascii="Arial" w:hAnsi="Arial"/>
      <w:sz w:val="32"/>
      <w:szCs w:val="28"/>
    </w:rPr>
  </w:style>
  <w:style w:type="paragraph" w:customStyle="1" w:styleId="AbstractWestern">
    <w:name w:val="Abstract Western"/>
    <w:basedOn w:val="Normal"/>
    <w:uiPriority w:val="99"/>
    <w:rsid w:val="00F834DC"/>
    <w:pPr>
      <w:spacing w:line="240" w:lineRule="auto"/>
      <w:jc w:val="center"/>
    </w:pPr>
  </w:style>
  <w:style w:type="character" w:styleId="PageNumber">
    <w:name w:val="page number"/>
    <w:basedOn w:val="DefaultParagraphFont"/>
    <w:uiPriority w:val="99"/>
    <w:rsid w:val="00F834DC"/>
    <w:rPr>
      <w:rFonts w:cs="Times New Roman"/>
    </w:rPr>
  </w:style>
  <w:style w:type="paragraph" w:customStyle="1" w:styleId="biblio">
    <w:name w:val="biblio"/>
    <w:basedOn w:val="Normal"/>
    <w:uiPriority w:val="99"/>
    <w:rsid w:val="00F834DC"/>
    <w:pPr>
      <w:spacing w:before="120" w:line="240" w:lineRule="auto"/>
      <w:ind w:left="720" w:hanging="720"/>
    </w:pPr>
    <w:rPr>
      <w:lang w:eastAsia="en-US"/>
    </w:rPr>
  </w:style>
  <w:style w:type="paragraph" w:customStyle="1" w:styleId="chapternum">
    <w:name w:val="chapternum"/>
    <w:basedOn w:val="Chapter"/>
    <w:next w:val="BodyText"/>
    <w:uiPriority w:val="99"/>
    <w:rsid w:val="00F834DC"/>
    <w:pPr>
      <w:numPr>
        <w:numId w:val="13"/>
      </w:numPr>
    </w:pPr>
  </w:style>
  <w:style w:type="paragraph" w:customStyle="1" w:styleId="style1">
    <w:name w:val="style1"/>
    <w:basedOn w:val="Normal"/>
    <w:uiPriority w:val="99"/>
    <w:rsid w:val="00F834DC"/>
    <w:pPr>
      <w:spacing w:before="100" w:beforeAutospacing="1" w:after="100" w:afterAutospacing="1" w:line="240" w:lineRule="auto"/>
    </w:pPr>
    <w:rPr>
      <w:szCs w:val="24"/>
      <w:lang w:eastAsia="en-US"/>
    </w:rPr>
  </w:style>
  <w:style w:type="paragraph" w:customStyle="1" w:styleId="Certificate">
    <w:name w:val="Certificate"/>
    <w:basedOn w:val="Normal"/>
    <w:link w:val="CertificateChar"/>
    <w:uiPriority w:val="99"/>
    <w:rsid w:val="00F834DC"/>
    <w:pPr>
      <w:autoSpaceDE w:val="0"/>
      <w:autoSpaceDN w:val="0"/>
      <w:adjustRightInd w:val="0"/>
      <w:spacing w:before="0" w:line="240" w:lineRule="auto"/>
      <w:jc w:val="center"/>
    </w:pPr>
    <w:rPr>
      <w:rFonts w:ascii="Arial" w:hAnsi="Arial" w:cs="Arial"/>
      <w:szCs w:val="24"/>
      <w:lang w:eastAsia="en-US"/>
    </w:rPr>
  </w:style>
  <w:style w:type="character" w:customStyle="1" w:styleId="CertificateChar">
    <w:name w:val="Certificate Char"/>
    <w:basedOn w:val="DefaultParagraphFont"/>
    <w:link w:val="Certificate"/>
    <w:uiPriority w:val="99"/>
    <w:locked/>
    <w:rsid w:val="00F834DC"/>
    <w:rPr>
      <w:rFonts w:ascii="Arial" w:eastAsia="Times New Roman" w:hAnsi="Arial" w:cs="Arial"/>
      <w:sz w:val="24"/>
      <w:szCs w:val="24"/>
      <w:lang w:val="en-US"/>
    </w:rPr>
  </w:style>
  <w:style w:type="paragraph" w:styleId="NoSpacing">
    <w:name w:val="No Spacing"/>
    <w:uiPriority w:val="1"/>
    <w:qFormat/>
    <w:rsid w:val="00F834DC"/>
    <w:pPr>
      <w:spacing w:after="0" w:line="240" w:lineRule="auto"/>
    </w:pPr>
    <w:rPr>
      <w:rFonts w:ascii="Calibri" w:eastAsia="Times New Roman" w:hAnsi="Calibri" w:cs="Times New Roman"/>
    </w:rPr>
  </w:style>
  <w:style w:type="paragraph" w:styleId="TOCHeading">
    <w:name w:val="TOC Heading"/>
    <w:basedOn w:val="Heading1"/>
    <w:next w:val="Normal"/>
    <w:uiPriority w:val="39"/>
    <w:qFormat/>
    <w:rsid w:val="00F834DC"/>
    <w:pPr>
      <w:keepLines/>
      <w:numPr>
        <w:numId w:val="0"/>
      </w:numPr>
      <w:spacing w:before="480" w:after="0" w:line="276" w:lineRule="auto"/>
      <w:outlineLvl w:val="9"/>
    </w:pPr>
    <w:rPr>
      <w:rFonts w:ascii="Cambria" w:hAnsi="Cambria" w:cs="Times New Roman"/>
      <w:b/>
      <w:color w:val="365F91"/>
      <w:kern w:val="0"/>
      <w:sz w:val="28"/>
      <w:szCs w:val="28"/>
      <w:lang w:eastAsia="en-US"/>
    </w:rPr>
  </w:style>
  <w:style w:type="paragraph" w:customStyle="1" w:styleId="Normal1">
    <w:name w:val="Normal1"/>
    <w:rsid w:val="00F834DC"/>
    <w:pPr>
      <w:widowControl w:val="0"/>
    </w:pPr>
    <w:rPr>
      <w:rFonts w:ascii="Calibri" w:eastAsia="Calibri" w:hAnsi="Calibri" w:cs="Calibri"/>
      <w:color w:val="000000"/>
    </w:rPr>
  </w:style>
  <w:style w:type="paragraph" w:styleId="ListParagraph">
    <w:name w:val="List Paragraph"/>
    <w:basedOn w:val="Normal"/>
    <w:uiPriority w:val="34"/>
    <w:qFormat/>
    <w:rsid w:val="00F834DC"/>
    <w:pPr>
      <w:spacing w:before="0" w:after="160" w:line="259" w:lineRule="auto"/>
      <w:ind w:left="720"/>
      <w:contextualSpacing/>
    </w:pPr>
    <w:rPr>
      <w:rFonts w:asciiTheme="minorHAnsi" w:eastAsiaTheme="minorHAnsi" w:hAnsiTheme="minorHAnsi" w:cstheme="minorBidi"/>
      <w:sz w:val="22"/>
      <w:szCs w:val="22"/>
      <w:lang w:val="en-CA" w:eastAsia="en-US"/>
    </w:rPr>
  </w:style>
  <w:style w:type="character" w:styleId="Strong">
    <w:name w:val="Strong"/>
    <w:basedOn w:val="DefaultParagraphFont"/>
    <w:uiPriority w:val="22"/>
    <w:qFormat/>
    <w:rsid w:val="00F834DC"/>
    <w:rPr>
      <w:b/>
      <w:bCs/>
    </w:rPr>
  </w:style>
  <w:style w:type="character" w:customStyle="1" w:styleId="apple-converted-space">
    <w:name w:val="apple-converted-space"/>
    <w:basedOn w:val="DefaultParagraphFont"/>
    <w:rsid w:val="00F834DC"/>
  </w:style>
  <w:style w:type="character" w:styleId="Emphasis">
    <w:name w:val="Emphasis"/>
    <w:basedOn w:val="DefaultParagraphFont"/>
    <w:uiPriority w:val="20"/>
    <w:qFormat/>
    <w:rsid w:val="00F834DC"/>
    <w:rPr>
      <w:i/>
      <w:iCs/>
    </w:rPr>
  </w:style>
  <w:style w:type="paragraph" w:styleId="Quote">
    <w:name w:val="Quote"/>
    <w:basedOn w:val="Normal"/>
    <w:next w:val="Normal"/>
    <w:link w:val="QuoteChar"/>
    <w:uiPriority w:val="29"/>
    <w:qFormat/>
    <w:rsid w:val="00F834DC"/>
    <w:pPr>
      <w:spacing w:before="120" w:after="120" w:line="259" w:lineRule="auto"/>
      <w:ind w:left="720"/>
    </w:pPr>
    <w:rPr>
      <w:rFonts w:asciiTheme="minorHAnsi" w:eastAsiaTheme="minorEastAsia" w:hAnsiTheme="minorHAnsi" w:cstheme="minorBidi"/>
      <w:color w:val="44546A" w:themeColor="text2"/>
      <w:szCs w:val="24"/>
      <w:lang w:val="en-CA" w:eastAsia="en-US"/>
    </w:rPr>
  </w:style>
  <w:style w:type="character" w:customStyle="1" w:styleId="QuoteChar">
    <w:name w:val="Quote Char"/>
    <w:basedOn w:val="DefaultParagraphFont"/>
    <w:link w:val="Quote"/>
    <w:uiPriority w:val="29"/>
    <w:rsid w:val="00F834DC"/>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834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CA" w:eastAsia="en-US"/>
    </w:rPr>
  </w:style>
  <w:style w:type="character" w:customStyle="1" w:styleId="IntenseQuoteChar">
    <w:name w:val="Intense Quote Char"/>
    <w:basedOn w:val="DefaultParagraphFont"/>
    <w:link w:val="IntenseQuote"/>
    <w:uiPriority w:val="30"/>
    <w:rsid w:val="00F834D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834DC"/>
    <w:rPr>
      <w:i/>
      <w:iCs/>
      <w:color w:val="595959" w:themeColor="text1" w:themeTint="A6"/>
    </w:rPr>
  </w:style>
  <w:style w:type="character" w:styleId="IntenseEmphasis">
    <w:name w:val="Intense Emphasis"/>
    <w:basedOn w:val="DefaultParagraphFont"/>
    <w:uiPriority w:val="21"/>
    <w:qFormat/>
    <w:rsid w:val="00F834DC"/>
    <w:rPr>
      <w:b/>
      <w:bCs/>
      <w:i/>
      <w:iCs/>
    </w:rPr>
  </w:style>
  <w:style w:type="character" w:styleId="SubtleReference">
    <w:name w:val="Subtle Reference"/>
    <w:basedOn w:val="DefaultParagraphFont"/>
    <w:uiPriority w:val="31"/>
    <w:qFormat/>
    <w:rsid w:val="00F834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834DC"/>
    <w:rPr>
      <w:b/>
      <w:bCs/>
      <w:smallCaps/>
      <w:color w:val="44546A" w:themeColor="text2"/>
      <w:u w:val="single"/>
    </w:rPr>
  </w:style>
  <w:style w:type="character" w:styleId="BookTitle">
    <w:name w:val="Book Title"/>
    <w:basedOn w:val="DefaultParagraphFont"/>
    <w:uiPriority w:val="33"/>
    <w:qFormat/>
    <w:rsid w:val="00F834DC"/>
    <w:rPr>
      <w:b/>
      <w:bCs/>
      <w:smallCaps/>
      <w:spacing w:val="10"/>
    </w:rPr>
  </w:style>
  <w:style w:type="character" w:customStyle="1" w:styleId="ref-text">
    <w:name w:val="ref-text"/>
    <w:basedOn w:val="DefaultParagraphFont"/>
    <w:rsid w:val="00F834DC"/>
  </w:style>
  <w:style w:type="table" w:customStyle="1" w:styleId="TableGrid1">
    <w:name w:val="Table Grid1"/>
    <w:basedOn w:val="TableNormal"/>
    <w:next w:val="TableGrid"/>
    <w:uiPriority w:val="39"/>
    <w:rsid w:val="00F834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83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57A3B"/>
    <w:rPr>
      <w:sz w:val="16"/>
      <w:szCs w:val="16"/>
    </w:rPr>
  </w:style>
  <w:style w:type="paragraph" w:styleId="Revision">
    <w:name w:val="Revision"/>
    <w:hidden/>
    <w:uiPriority w:val="99"/>
    <w:semiHidden/>
    <w:rsid w:val="008305FF"/>
    <w:pPr>
      <w:spacing w:after="0" w:line="240" w:lineRule="auto"/>
    </w:pPr>
    <w:rPr>
      <w:rFonts w:ascii="Times New Roman" w:eastAsia="Times New Roman" w:hAnsi="Times New Roman" w:cs="Times New Roman"/>
      <w:sz w:val="24"/>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1780">
      <w:bodyDiv w:val="1"/>
      <w:marLeft w:val="0"/>
      <w:marRight w:val="0"/>
      <w:marTop w:val="0"/>
      <w:marBottom w:val="0"/>
      <w:divBdr>
        <w:top w:val="none" w:sz="0" w:space="0" w:color="auto"/>
        <w:left w:val="none" w:sz="0" w:space="0" w:color="auto"/>
        <w:bottom w:val="none" w:sz="0" w:space="0" w:color="auto"/>
        <w:right w:val="none" w:sz="0" w:space="0" w:color="auto"/>
      </w:divBdr>
    </w:div>
    <w:div w:id="175653485">
      <w:bodyDiv w:val="1"/>
      <w:marLeft w:val="0"/>
      <w:marRight w:val="0"/>
      <w:marTop w:val="0"/>
      <w:marBottom w:val="0"/>
      <w:divBdr>
        <w:top w:val="none" w:sz="0" w:space="0" w:color="auto"/>
        <w:left w:val="none" w:sz="0" w:space="0" w:color="auto"/>
        <w:bottom w:val="none" w:sz="0" w:space="0" w:color="auto"/>
        <w:right w:val="none" w:sz="0" w:space="0" w:color="auto"/>
      </w:divBdr>
    </w:div>
    <w:div w:id="451437826">
      <w:bodyDiv w:val="1"/>
      <w:marLeft w:val="0"/>
      <w:marRight w:val="0"/>
      <w:marTop w:val="0"/>
      <w:marBottom w:val="0"/>
      <w:divBdr>
        <w:top w:val="none" w:sz="0" w:space="0" w:color="auto"/>
        <w:left w:val="none" w:sz="0" w:space="0" w:color="auto"/>
        <w:bottom w:val="none" w:sz="0" w:space="0" w:color="auto"/>
        <w:right w:val="none" w:sz="0" w:space="0" w:color="auto"/>
      </w:divBdr>
    </w:div>
    <w:div w:id="642777568">
      <w:bodyDiv w:val="1"/>
      <w:marLeft w:val="0"/>
      <w:marRight w:val="0"/>
      <w:marTop w:val="0"/>
      <w:marBottom w:val="0"/>
      <w:divBdr>
        <w:top w:val="none" w:sz="0" w:space="0" w:color="auto"/>
        <w:left w:val="none" w:sz="0" w:space="0" w:color="auto"/>
        <w:bottom w:val="none" w:sz="0" w:space="0" w:color="auto"/>
        <w:right w:val="none" w:sz="0" w:space="0" w:color="auto"/>
      </w:divBdr>
    </w:div>
    <w:div w:id="824708558">
      <w:bodyDiv w:val="1"/>
      <w:marLeft w:val="0"/>
      <w:marRight w:val="0"/>
      <w:marTop w:val="0"/>
      <w:marBottom w:val="0"/>
      <w:divBdr>
        <w:top w:val="none" w:sz="0" w:space="0" w:color="auto"/>
        <w:left w:val="none" w:sz="0" w:space="0" w:color="auto"/>
        <w:bottom w:val="none" w:sz="0" w:space="0" w:color="auto"/>
        <w:right w:val="none" w:sz="0" w:space="0" w:color="auto"/>
      </w:divBdr>
    </w:div>
    <w:div w:id="1397165711">
      <w:bodyDiv w:val="1"/>
      <w:marLeft w:val="0"/>
      <w:marRight w:val="0"/>
      <w:marTop w:val="0"/>
      <w:marBottom w:val="0"/>
      <w:divBdr>
        <w:top w:val="none" w:sz="0" w:space="0" w:color="auto"/>
        <w:left w:val="none" w:sz="0" w:space="0" w:color="auto"/>
        <w:bottom w:val="none" w:sz="0" w:space="0" w:color="auto"/>
        <w:right w:val="none" w:sz="0" w:space="0" w:color="auto"/>
      </w:divBdr>
    </w:div>
    <w:div w:id="1453934524">
      <w:bodyDiv w:val="1"/>
      <w:marLeft w:val="0"/>
      <w:marRight w:val="0"/>
      <w:marTop w:val="0"/>
      <w:marBottom w:val="0"/>
      <w:divBdr>
        <w:top w:val="none" w:sz="0" w:space="0" w:color="auto"/>
        <w:left w:val="none" w:sz="0" w:space="0" w:color="auto"/>
        <w:bottom w:val="none" w:sz="0" w:space="0" w:color="auto"/>
        <w:right w:val="none" w:sz="0" w:space="0" w:color="auto"/>
      </w:divBdr>
    </w:div>
    <w:div w:id="1845123210">
      <w:bodyDiv w:val="1"/>
      <w:marLeft w:val="0"/>
      <w:marRight w:val="0"/>
      <w:marTop w:val="0"/>
      <w:marBottom w:val="0"/>
      <w:divBdr>
        <w:top w:val="none" w:sz="0" w:space="0" w:color="auto"/>
        <w:left w:val="none" w:sz="0" w:space="0" w:color="auto"/>
        <w:bottom w:val="none" w:sz="0" w:space="0" w:color="auto"/>
        <w:right w:val="none" w:sz="0" w:space="0" w:color="auto"/>
      </w:divBdr>
    </w:div>
    <w:div w:id="20284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DF3B-8B83-4290-8F6C-C8B4897B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5707</Words>
  <Characters>32536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Kueper</dc:creator>
  <cp:lastModifiedBy>SGML</cp:lastModifiedBy>
  <cp:revision>2</cp:revision>
  <dcterms:created xsi:type="dcterms:W3CDTF">2018-04-11T12:47:00Z</dcterms:created>
  <dcterms:modified xsi:type="dcterms:W3CDTF">2018-04-11T12:47:00Z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3ecf4312-de1a-34bf-b105-1413eaa92dfe</vt:lpwstr>
  </property>
  <property fmtid="{D5CDD505-2E9C-101B-9397-08002B2CF9AE}" pid="24" name="Mendeley Citation Style_1">
    <vt:lpwstr>http://www.zotero.org/styles/american-medical-association</vt:lpwstr>
  </property>
</Properties>
</file>