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1A" w:rsidRPr="00D5131A" w:rsidRDefault="00046CAF" w:rsidP="00D5131A">
      <w:pPr>
        <w:tabs>
          <w:tab w:val="left" w:pos="360"/>
        </w:tabs>
        <w:spacing w:line="480" w:lineRule="auto"/>
        <w:outlineLvl w:val="0"/>
        <w:rPr>
          <w:b/>
          <w:color w:val="000000"/>
          <w:sz w:val="40"/>
          <w:szCs w:val="40"/>
        </w:rPr>
      </w:pPr>
      <w:r w:rsidRPr="00D5131A">
        <w:rPr>
          <w:b/>
          <w:color w:val="000000"/>
          <w:sz w:val="40"/>
          <w:szCs w:val="40"/>
        </w:rPr>
        <w:t xml:space="preserve">Supplementary </w:t>
      </w:r>
      <w:r w:rsidR="00D5131A" w:rsidRPr="00D5131A">
        <w:rPr>
          <w:b/>
          <w:color w:val="000000"/>
          <w:sz w:val="40"/>
          <w:szCs w:val="40"/>
        </w:rPr>
        <w:t>Material</w:t>
      </w:r>
    </w:p>
    <w:p w:rsidR="00046CAF" w:rsidRPr="00D5131A" w:rsidRDefault="00046CAF" w:rsidP="00D5131A">
      <w:pPr>
        <w:pStyle w:val="NormalWeb"/>
        <w:tabs>
          <w:tab w:val="left" w:pos="360"/>
        </w:tabs>
        <w:spacing w:before="0" w:beforeAutospacing="0" w:after="0" w:afterAutospacing="0" w:line="480" w:lineRule="auto"/>
      </w:pPr>
    </w:p>
    <w:p w:rsidR="00046CAF" w:rsidRPr="00D5131A" w:rsidRDefault="00866F1C" w:rsidP="00814BF9">
      <w:pPr>
        <w:rPr>
          <w:rStyle w:val="ttitle"/>
        </w:rPr>
      </w:pPr>
      <w:r>
        <w:rPr>
          <w:b/>
        </w:rPr>
        <w:t xml:space="preserve">Supplementary Table 1. </w:t>
      </w:r>
      <w:r w:rsidRPr="00866F1C">
        <w:t>L</w:t>
      </w:r>
      <w:r w:rsidR="00046CAF" w:rsidRPr="00D5131A">
        <w:rPr>
          <w:rStyle w:val="ttitle"/>
        </w:rPr>
        <w:t>ist of the primary antibodies used in this study</w:t>
      </w:r>
    </w:p>
    <w:p w:rsidR="00046CAF" w:rsidRPr="00D5131A" w:rsidRDefault="00046CAF" w:rsidP="00866F1C">
      <w:pPr>
        <w:tabs>
          <w:tab w:val="left" w:pos="360"/>
        </w:tabs>
        <w:rPr>
          <w:rStyle w:val="ttitle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45"/>
        <w:gridCol w:w="2250"/>
        <w:gridCol w:w="1885"/>
        <w:gridCol w:w="3065"/>
      </w:tblGrid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Antibody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Species</w:t>
            </w:r>
          </w:p>
        </w:tc>
        <w:tc>
          <w:tcPr>
            <w:tcW w:w="188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Dilution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Supplier/cat. no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Anti-TREM2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Mouse (monoclonal)</w:t>
            </w:r>
          </w:p>
        </w:tc>
        <w:tc>
          <w:tcPr>
            <w:tcW w:w="1885" w:type="dxa"/>
          </w:tcPr>
          <w:p w:rsidR="00046CAF" w:rsidRPr="00D5131A" w:rsidRDefault="00866F1C" w:rsidP="00866F1C">
            <w:pPr>
              <w:tabs>
                <w:tab w:val="left" w:pos="360"/>
              </w:tabs>
            </w:pPr>
            <w:r>
              <w:t>1:</w:t>
            </w:r>
            <w:r w:rsidR="00046CAF" w:rsidRPr="00D5131A">
              <w:t>500 for IHC</w:t>
            </w:r>
          </w:p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1:200 for WB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Abcam (ab201621)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Anti-TREM2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Rabbit monoclonal)</w:t>
            </w:r>
          </w:p>
        </w:tc>
        <w:tc>
          <w:tcPr>
            <w:tcW w:w="1885" w:type="dxa"/>
          </w:tcPr>
          <w:p w:rsidR="00046CAF" w:rsidRPr="00D5131A" w:rsidRDefault="00866F1C" w:rsidP="00866F1C">
            <w:pPr>
              <w:tabs>
                <w:tab w:val="left" w:pos="360"/>
              </w:tabs>
            </w:pPr>
            <w:r>
              <w:t>1:</w:t>
            </w:r>
            <w:r w:rsidR="00046CAF" w:rsidRPr="00D5131A">
              <w:t>500 for IHC</w:t>
            </w:r>
          </w:p>
          <w:p w:rsidR="00046CAF" w:rsidRPr="00D5131A" w:rsidRDefault="00866F1C" w:rsidP="00866F1C">
            <w:pPr>
              <w:tabs>
                <w:tab w:val="left" w:pos="360"/>
              </w:tabs>
            </w:pPr>
            <w:r>
              <w:t>1:</w:t>
            </w:r>
            <w:r w:rsidR="00046CAF" w:rsidRPr="00D5131A">
              <w:t>200 for WB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 xml:space="preserve">Abcam (ab209814) 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Anti-DAP12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Rabbit (polyclonal)</w:t>
            </w:r>
          </w:p>
        </w:tc>
        <w:tc>
          <w:tcPr>
            <w:tcW w:w="1885" w:type="dxa"/>
          </w:tcPr>
          <w:p w:rsidR="00046CAF" w:rsidRPr="00D5131A" w:rsidRDefault="00866F1C" w:rsidP="00866F1C">
            <w:pPr>
              <w:tabs>
                <w:tab w:val="left" w:pos="360"/>
              </w:tabs>
            </w:pPr>
            <w:r>
              <w:t>1:</w:t>
            </w:r>
            <w:r w:rsidR="00046CAF" w:rsidRPr="00D5131A">
              <w:t>200 for IHC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Abcam (Ab93846)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Anti-GFAP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Mouse (monoclonal)</w:t>
            </w:r>
          </w:p>
        </w:tc>
        <w:tc>
          <w:tcPr>
            <w:tcW w:w="188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1:1000 for IHC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Sigma (G3893 Clone G-A-5)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rPr>
                <w:rStyle w:val="simple"/>
                <w:rFonts w:eastAsia="Times New Roman"/>
              </w:rPr>
              <w:t>Anti-β amyloid 1-16 amino acid (6E10)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Mouse (monoclonal)</w:t>
            </w:r>
          </w:p>
        </w:tc>
        <w:tc>
          <w:tcPr>
            <w:tcW w:w="188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1:1000 for IHC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pStyle w:val="Heading1"/>
              <w:tabs>
                <w:tab w:val="left" w:pos="360"/>
              </w:tabs>
              <w:rPr>
                <w:b w:val="0"/>
                <w:szCs w:val="24"/>
              </w:rPr>
            </w:pPr>
            <w:r w:rsidRPr="00D5131A">
              <w:rPr>
                <w:rStyle w:val="simple"/>
                <w:b w:val="0"/>
                <w:szCs w:val="24"/>
              </w:rPr>
              <w:t>Covance cat number (SIG 39320)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Anti-</w:t>
            </w:r>
            <w:r w:rsidR="00866F1C">
              <w:t>A</w:t>
            </w:r>
            <w:r w:rsidRPr="00D5131A">
              <w:sym w:font="Symbol" w:char="F062"/>
            </w:r>
            <w:r w:rsidRPr="00D5131A">
              <w:t xml:space="preserve"> (1-40)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Rabbit (polyclonal)</w:t>
            </w:r>
          </w:p>
        </w:tc>
        <w:tc>
          <w:tcPr>
            <w:tcW w:w="1885" w:type="dxa"/>
          </w:tcPr>
          <w:p w:rsidR="00046CAF" w:rsidRPr="00D5131A" w:rsidRDefault="00866F1C" w:rsidP="00866F1C">
            <w:pPr>
              <w:tabs>
                <w:tab w:val="left" w:pos="360"/>
              </w:tabs>
            </w:pPr>
            <w:r>
              <w:t>1:</w:t>
            </w:r>
            <w:r w:rsidR="00046CAF" w:rsidRPr="00D5131A">
              <w:t>200 for IHC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Millipore (Ab5737)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 β-actin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Mouse (monoclonal)</w:t>
            </w:r>
          </w:p>
        </w:tc>
        <w:tc>
          <w:tcPr>
            <w:tcW w:w="188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1:10000 for WB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pStyle w:val="Heading2"/>
              <w:tabs>
                <w:tab w:val="left" w:pos="360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D5131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Sigma (clone AC-74,</w:t>
            </w:r>
            <w:r w:rsidR="00866F1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A5316</w:t>
            </w:r>
            <w:r w:rsidRPr="00D5131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)</w:t>
            </w:r>
          </w:p>
        </w:tc>
        <w:bookmarkStart w:id="0" w:name="_GoBack"/>
        <w:bookmarkEnd w:id="0"/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rPr>
                <w:rStyle w:val="simple"/>
                <w:rFonts w:eastAsia="Times New Roman"/>
              </w:rPr>
              <w:t>Anti-APOE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Rabbit (polyclonal)</w:t>
            </w:r>
          </w:p>
        </w:tc>
        <w:tc>
          <w:tcPr>
            <w:tcW w:w="1885" w:type="dxa"/>
          </w:tcPr>
          <w:p w:rsidR="00046CAF" w:rsidRPr="00D5131A" w:rsidRDefault="00866F1C" w:rsidP="00866F1C">
            <w:pPr>
              <w:tabs>
                <w:tab w:val="left" w:pos="360"/>
              </w:tabs>
            </w:pPr>
            <w:r>
              <w:t>1:</w:t>
            </w:r>
            <w:r w:rsidR="00046CAF" w:rsidRPr="00D5131A">
              <w:t>200 for IHC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Abcam (ab</w:t>
            </w:r>
            <w:r w:rsidRPr="00D5131A">
              <w:rPr>
                <w:rStyle w:val="simple"/>
                <w:rFonts w:eastAsia="Times New Roman"/>
              </w:rPr>
              <w:t>85311</w:t>
            </w:r>
            <w:r w:rsidRPr="00D5131A">
              <w:t>)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Anti-CD42b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Rabbit (polyclonal)</w:t>
            </w:r>
          </w:p>
        </w:tc>
        <w:tc>
          <w:tcPr>
            <w:tcW w:w="1885" w:type="dxa"/>
          </w:tcPr>
          <w:p w:rsidR="00046CAF" w:rsidRPr="00D5131A" w:rsidRDefault="00866F1C" w:rsidP="00866F1C">
            <w:pPr>
              <w:tabs>
                <w:tab w:val="left" w:pos="360"/>
              </w:tabs>
            </w:pPr>
            <w:r>
              <w:t>1:</w:t>
            </w:r>
            <w:r w:rsidR="00046CAF" w:rsidRPr="00D5131A">
              <w:t>200 for IHC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Abcam (Ab104704)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Anti- Iba1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Rabbit (polyclonal)</w:t>
            </w:r>
          </w:p>
        </w:tc>
        <w:tc>
          <w:tcPr>
            <w:tcW w:w="1885" w:type="dxa"/>
          </w:tcPr>
          <w:p w:rsidR="00046CAF" w:rsidRPr="00D5131A" w:rsidRDefault="00866F1C" w:rsidP="00866F1C">
            <w:pPr>
              <w:tabs>
                <w:tab w:val="left" w:pos="360"/>
              </w:tabs>
            </w:pPr>
            <w:r>
              <w:t>1:</w:t>
            </w:r>
            <w:r w:rsidR="00046CAF" w:rsidRPr="00D5131A">
              <w:t>200 for IHC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WAKO (Cat. 19-19741)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Anti-CD68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Mouse (monoclonal)</w:t>
            </w:r>
          </w:p>
        </w:tc>
        <w:tc>
          <w:tcPr>
            <w:tcW w:w="1885" w:type="dxa"/>
          </w:tcPr>
          <w:p w:rsidR="00046CAF" w:rsidRPr="00D5131A" w:rsidRDefault="00866F1C" w:rsidP="00866F1C">
            <w:pPr>
              <w:tabs>
                <w:tab w:val="left" w:pos="360"/>
              </w:tabs>
            </w:pPr>
            <w:r>
              <w:t>1:</w:t>
            </w:r>
            <w:r w:rsidR="00046CAF" w:rsidRPr="00D5131A">
              <w:t>1000 for IHC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Abcam (Ab53444)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Anti-LAMP1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Rabbit(monoclonal)</w:t>
            </w:r>
          </w:p>
        </w:tc>
        <w:tc>
          <w:tcPr>
            <w:tcW w:w="188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1:500 for IHC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Abcam (Ab24170)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Anti-EEA1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Rabbit (polyclonal)</w:t>
            </w:r>
          </w:p>
        </w:tc>
        <w:tc>
          <w:tcPr>
            <w:tcW w:w="1885" w:type="dxa"/>
          </w:tcPr>
          <w:p w:rsidR="00046CAF" w:rsidRPr="00D5131A" w:rsidRDefault="00866F1C" w:rsidP="00866F1C">
            <w:pPr>
              <w:tabs>
                <w:tab w:val="left" w:pos="360"/>
              </w:tabs>
            </w:pPr>
            <w:r>
              <w:t>1:</w:t>
            </w:r>
            <w:r w:rsidR="00046CAF" w:rsidRPr="00D5131A">
              <w:t>500 for IHC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Abcam (Ab2900)</w:t>
            </w:r>
          </w:p>
        </w:tc>
      </w:tr>
      <w:tr w:rsidR="00866F1C" w:rsidRPr="00D5131A" w:rsidTr="00866F1C">
        <w:tc>
          <w:tcPr>
            <w:tcW w:w="224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Anti-Serum albumin</w:t>
            </w:r>
          </w:p>
        </w:tc>
        <w:tc>
          <w:tcPr>
            <w:tcW w:w="2250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Mouse (monoclonal)</w:t>
            </w:r>
          </w:p>
        </w:tc>
        <w:tc>
          <w:tcPr>
            <w:tcW w:w="188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1:5000 for WB</w:t>
            </w:r>
          </w:p>
        </w:tc>
        <w:tc>
          <w:tcPr>
            <w:tcW w:w="3065" w:type="dxa"/>
          </w:tcPr>
          <w:p w:rsidR="00046CAF" w:rsidRPr="00D5131A" w:rsidRDefault="00046CAF" w:rsidP="00866F1C">
            <w:pPr>
              <w:tabs>
                <w:tab w:val="left" w:pos="360"/>
              </w:tabs>
            </w:pPr>
            <w:r w:rsidRPr="00D5131A">
              <w:t>Abcam (Ab7793)</w:t>
            </w:r>
          </w:p>
        </w:tc>
      </w:tr>
    </w:tbl>
    <w:p w:rsidR="00046CAF" w:rsidRPr="00D5131A" w:rsidRDefault="00046CAF" w:rsidP="00866F1C">
      <w:pPr>
        <w:tabs>
          <w:tab w:val="left" w:pos="360"/>
        </w:tabs>
      </w:pPr>
    </w:p>
    <w:p w:rsidR="00046CAF" w:rsidRPr="00D5131A" w:rsidRDefault="00046CAF" w:rsidP="00866F1C">
      <w:pPr>
        <w:tabs>
          <w:tab w:val="left" w:pos="360"/>
        </w:tabs>
        <w:outlineLvl w:val="0"/>
      </w:pPr>
      <w:r w:rsidRPr="00D5131A">
        <w:t xml:space="preserve">IHC, immunohistochemistry; WB, </w:t>
      </w:r>
      <w:r w:rsidR="00866F1C">
        <w:t>w</w:t>
      </w:r>
      <w:r w:rsidRPr="00D5131A">
        <w:t>estern blot.</w:t>
      </w:r>
    </w:p>
    <w:p w:rsidR="00046CAF" w:rsidRPr="00D5131A" w:rsidRDefault="00046CAF" w:rsidP="00866F1C">
      <w:pPr>
        <w:tabs>
          <w:tab w:val="left" w:pos="360"/>
        </w:tabs>
      </w:pPr>
    </w:p>
    <w:p w:rsidR="00046CAF" w:rsidRPr="00D5131A" w:rsidRDefault="00046CAF" w:rsidP="00866F1C">
      <w:pPr>
        <w:pStyle w:val="BodyText"/>
        <w:tabs>
          <w:tab w:val="left" w:pos="360"/>
        </w:tabs>
        <w:jc w:val="left"/>
        <w:rPr>
          <w:sz w:val="24"/>
          <w:szCs w:val="24"/>
          <w:lang w:val="en-US"/>
        </w:rPr>
      </w:pPr>
    </w:p>
    <w:p w:rsidR="003B350B" w:rsidRPr="00D5131A" w:rsidRDefault="00814BF9" w:rsidP="00866F1C">
      <w:pPr>
        <w:tabs>
          <w:tab w:val="left" w:pos="360"/>
        </w:tabs>
      </w:pPr>
    </w:p>
    <w:sectPr w:rsidR="003B350B" w:rsidRPr="00D5131A" w:rsidSect="00D5131A">
      <w:footerReference w:type="even" r:id="rId6"/>
      <w:footerReference w:type="default" r:id="rId7"/>
      <w:pgSz w:w="12240" w:h="15840"/>
      <w:pgMar w:top="1440" w:right="1440" w:bottom="1440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21" w:rsidRDefault="002F5B21">
      <w:r>
        <w:separator/>
      </w:r>
    </w:p>
  </w:endnote>
  <w:endnote w:type="continuationSeparator" w:id="1">
    <w:p w:rsidR="002F5B21" w:rsidRDefault="002F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F" w:rsidRDefault="00DA23A5" w:rsidP="00A47DC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B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26F" w:rsidRDefault="00814BF9" w:rsidP="00B536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F" w:rsidRDefault="00DA23A5" w:rsidP="00A47DC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B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BF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526F" w:rsidRDefault="00814BF9" w:rsidP="00B5362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21" w:rsidRDefault="002F5B21">
      <w:r>
        <w:separator/>
      </w:r>
    </w:p>
  </w:footnote>
  <w:footnote w:type="continuationSeparator" w:id="1">
    <w:p w:rsidR="002F5B21" w:rsidRDefault="002F5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46CAF"/>
    <w:rsid w:val="00046CAF"/>
    <w:rsid w:val="002F5B21"/>
    <w:rsid w:val="005B1BCF"/>
    <w:rsid w:val="00814BF9"/>
    <w:rsid w:val="00866F1C"/>
    <w:rsid w:val="00A341B4"/>
    <w:rsid w:val="00A36FD8"/>
    <w:rsid w:val="00B80DAB"/>
    <w:rsid w:val="00D5131A"/>
    <w:rsid w:val="00DA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AF"/>
    <w:rPr>
      <w:rFonts w:ascii="Times New Roman" w:eastAsiaTheme="minorEastAsia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46CAF"/>
    <w:pPr>
      <w:keepNext/>
      <w:autoSpaceDE w:val="0"/>
      <w:autoSpaceDN w:val="0"/>
      <w:adjustRightInd w:val="0"/>
      <w:outlineLvl w:val="0"/>
    </w:pPr>
    <w:rPr>
      <w:rFonts w:eastAsia="Times New Roman"/>
      <w:b/>
      <w:bCs/>
      <w:szCs w:val="4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CAF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CAF"/>
    <w:rPr>
      <w:rFonts w:ascii="Times New Roman" w:eastAsia="Times New Roman" w:hAnsi="Times New Roman" w:cs="Times New Roman"/>
      <w:b/>
      <w:bCs/>
      <w:szCs w:val="4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46CAF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046CAF"/>
    <w:pPr>
      <w:jc w:val="both"/>
    </w:pPr>
    <w:rPr>
      <w:rFonts w:eastAsia="Times New Roman"/>
      <w:sz w:val="20"/>
      <w:szCs w:val="21"/>
      <w:lang w:val="en-GB"/>
    </w:rPr>
  </w:style>
  <w:style w:type="character" w:customStyle="1" w:styleId="BodyTextChar">
    <w:name w:val="Body Text Char"/>
    <w:basedOn w:val="DefaultParagraphFont"/>
    <w:link w:val="BodyText"/>
    <w:rsid w:val="00046CAF"/>
    <w:rPr>
      <w:rFonts w:ascii="Times New Roman" w:eastAsia="Times New Roman" w:hAnsi="Times New Roman" w:cs="Times New Roman"/>
      <w:sz w:val="20"/>
      <w:szCs w:val="21"/>
    </w:rPr>
  </w:style>
  <w:style w:type="paragraph" w:styleId="NormalWeb">
    <w:name w:val="Normal (Web)"/>
    <w:basedOn w:val="Normal"/>
    <w:uiPriority w:val="99"/>
    <w:unhideWhenUsed/>
    <w:rsid w:val="00046CAF"/>
    <w:pPr>
      <w:spacing w:before="100" w:beforeAutospacing="1" w:after="100" w:afterAutospacing="1"/>
    </w:pPr>
  </w:style>
  <w:style w:type="character" w:customStyle="1" w:styleId="simple">
    <w:name w:val="simple"/>
    <w:basedOn w:val="DefaultParagraphFont"/>
    <w:rsid w:val="00046CAF"/>
  </w:style>
  <w:style w:type="character" w:styleId="PageNumber">
    <w:name w:val="page number"/>
    <w:basedOn w:val="DefaultParagraphFont"/>
    <w:semiHidden/>
    <w:unhideWhenUsed/>
    <w:rsid w:val="00046CAF"/>
  </w:style>
  <w:style w:type="paragraph" w:styleId="Footer">
    <w:name w:val="footer"/>
    <w:basedOn w:val="Normal"/>
    <w:link w:val="FooterChar"/>
    <w:unhideWhenUsed/>
    <w:rsid w:val="00046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6CAF"/>
    <w:rPr>
      <w:rFonts w:ascii="Times New Roman" w:eastAsiaTheme="minorEastAsia" w:hAnsi="Times New Roman" w:cs="Times New Roman"/>
      <w:lang w:val="en-US"/>
    </w:rPr>
  </w:style>
  <w:style w:type="character" w:customStyle="1" w:styleId="ttitle">
    <w:name w:val="ttitle"/>
    <w:basedOn w:val="DefaultParagraphFont"/>
    <w:rsid w:val="00046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Supplementary Material</vt:lpstr>
      <vt:lpstr/>
      <vt:lpstr>Table S1:  List of the primary antibodies used in this study</vt:lpstr>
      <vt:lpstr>IHC, immunohistochemistry; WB, Western blot.</vt:lpstr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Raha-Chowdhury</dc:creator>
  <cp:keywords/>
  <dc:description/>
  <cp:lastModifiedBy> </cp:lastModifiedBy>
  <cp:revision>4</cp:revision>
  <dcterms:created xsi:type="dcterms:W3CDTF">2017-11-29T17:35:00Z</dcterms:created>
  <dcterms:modified xsi:type="dcterms:W3CDTF">2017-12-16T09:05:00Z</dcterms:modified>
</cp:coreProperties>
</file>