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B5" w:rsidRPr="00B77A96" w:rsidRDefault="00D45EB5" w:rsidP="00D45EB5">
      <w:pPr>
        <w:tabs>
          <w:tab w:val="left" w:pos="360"/>
        </w:tabs>
        <w:spacing w:after="0" w:line="480" w:lineRule="auto"/>
        <w:rPr>
          <w:rFonts w:ascii="Times New Roman" w:hAnsi="Times New Roman" w:cs="Times New Roman"/>
          <w:b/>
          <w:sz w:val="40"/>
          <w:szCs w:val="40"/>
        </w:rPr>
      </w:pPr>
      <w:r w:rsidRPr="00B77A96">
        <w:rPr>
          <w:rFonts w:ascii="Times New Roman" w:hAnsi="Times New Roman" w:cs="Times New Roman"/>
          <w:b/>
          <w:sz w:val="40"/>
          <w:szCs w:val="40"/>
        </w:rPr>
        <w:t>Supplementary Material</w:t>
      </w:r>
    </w:p>
    <w:p w:rsidR="00D45EB5" w:rsidRPr="006D0CA0" w:rsidRDefault="00D45EB5" w:rsidP="00D45EB5">
      <w:pPr>
        <w:tabs>
          <w:tab w:val="left" w:pos="360"/>
        </w:tabs>
        <w:spacing w:after="0" w:line="480" w:lineRule="auto"/>
        <w:rPr>
          <w:rFonts w:ascii="Times New Roman" w:hAnsi="Times New Roman" w:cs="Times New Roman"/>
          <w:sz w:val="24"/>
          <w:szCs w:val="24"/>
        </w:rPr>
      </w:pPr>
    </w:p>
    <w:p w:rsidR="00D45EB5" w:rsidRDefault="00D45EB5" w:rsidP="00D45EB5">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D0CA0">
        <w:rPr>
          <w:rFonts w:ascii="Times New Roman" w:hAnsi="Times New Roman" w:cs="Times New Roman"/>
          <w:sz w:val="24"/>
          <w:szCs w:val="24"/>
        </w:rPr>
        <w:t xml:space="preserve">Number needed to treat (NNT) for </w:t>
      </w:r>
      <w:proofErr w:type="gramStart"/>
      <w:r w:rsidRPr="006D0CA0">
        <w:rPr>
          <w:rFonts w:ascii="Times New Roman" w:hAnsi="Times New Roman" w:cs="Times New Roman"/>
          <w:sz w:val="24"/>
          <w:szCs w:val="24"/>
        </w:rPr>
        <w:t>patients on warfarin comparing with those on aspirin to prevent IS</w:t>
      </w:r>
      <w:proofErr w:type="gramEnd"/>
      <w:r w:rsidRPr="006D0CA0">
        <w:rPr>
          <w:rFonts w:ascii="Times New Roman" w:hAnsi="Times New Roman" w:cs="Times New Roman"/>
          <w:sz w:val="24"/>
          <w:szCs w:val="24"/>
        </w:rPr>
        <w:t xml:space="preserve"> was 28.6. Number needed to harm (NNH) for warfarin comparing with aspirin regarding ICH outcome, was 333.3. NNH for any hemorrhage was 166.7, comparing patients with warfarin to aspirin group. NNT for patients on warfarin comparing with no treatment group to prevent IS was 125.0. NNH for warfarin comparing with no treatment regarding ICH outcome, was 166.7. NNH for any hemorrhage was 125.0, comparing patients with warfarin to those with no treatment.</w:t>
      </w:r>
    </w:p>
    <w:p w:rsidR="00D45EB5" w:rsidRDefault="00D45EB5" w:rsidP="00D45EB5">
      <w:pPr>
        <w:tabs>
          <w:tab w:val="left" w:pos="360"/>
        </w:tabs>
        <w:spacing w:after="0" w:line="480" w:lineRule="auto"/>
        <w:rPr>
          <w:rFonts w:ascii="Times New Roman" w:hAnsi="Times New Roman" w:cs="Times New Roman"/>
          <w:sz w:val="24"/>
          <w:szCs w:val="24"/>
        </w:rPr>
      </w:pPr>
    </w:p>
    <w:p w:rsidR="00D45EB5" w:rsidRDefault="00D45EB5" w:rsidP="00D45EB5">
      <w:pPr>
        <w:tabs>
          <w:tab w:val="left" w:pos="360"/>
        </w:tabs>
        <w:spacing w:after="0" w:line="240" w:lineRule="auto"/>
        <w:rPr>
          <w:rFonts w:ascii="Times New Roman" w:eastAsia="Times New Roman" w:hAnsi="Times New Roman" w:cs="Times New Roman"/>
          <w:color w:val="000000"/>
          <w:sz w:val="24"/>
          <w:szCs w:val="24"/>
          <w:lang w:eastAsia="en-GB"/>
        </w:rPr>
      </w:pPr>
      <w:proofErr w:type="gramStart"/>
      <w:r w:rsidRPr="006D0CA0">
        <w:rPr>
          <w:rFonts w:ascii="Times New Roman" w:eastAsia="Times New Roman" w:hAnsi="Times New Roman" w:cs="Times New Roman"/>
          <w:b/>
          <w:color w:val="000000"/>
          <w:sz w:val="24"/>
          <w:szCs w:val="24"/>
          <w:lang w:eastAsia="en-GB"/>
        </w:rPr>
        <w:t>Supplement</w:t>
      </w:r>
      <w:r>
        <w:rPr>
          <w:rFonts w:ascii="Times New Roman" w:eastAsia="Times New Roman" w:hAnsi="Times New Roman" w:cs="Times New Roman"/>
          <w:b/>
          <w:color w:val="000000"/>
          <w:sz w:val="24"/>
          <w:szCs w:val="24"/>
          <w:lang w:eastAsia="en-GB"/>
        </w:rPr>
        <w:t>ary T</w:t>
      </w:r>
      <w:r w:rsidRPr="006D0CA0">
        <w:rPr>
          <w:rFonts w:ascii="Times New Roman" w:eastAsia="Times New Roman" w:hAnsi="Times New Roman" w:cs="Times New Roman"/>
          <w:b/>
          <w:color w:val="000000"/>
          <w:sz w:val="24"/>
          <w:szCs w:val="24"/>
          <w:lang w:eastAsia="en-GB"/>
        </w:rPr>
        <w:t>able 1.</w:t>
      </w:r>
      <w:proofErr w:type="gramEnd"/>
      <w:r w:rsidRPr="006D0CA0">
        <w:rPr>
          <w:rFonts w:ascii="Times New Roman" w:eastAsia="Times New Roman" w:hAnsi="Times New Roman" w:cs="Times New Roman"/>
          <w:b/>
          <w:color w:val="000000"/>
          <w:sz w:val="24"/>
          <w:szCs w:val="24"/>
          <w:lang w:eastAsia="en-GB"/>
        </w:rPr>
        <w:t xml:space="preserve"> </w:t>
      </w:r>
      <w:r w:rsidRPr="00B77A96">
        <w:rPr>
          <w:rFonts w:ascii="Times New Roman" w:eastAsia="Times New Roman" w:hAnsi="Times New Roman" w:cs="Times New Roman"/>
          <w:color w:val="000000"/>
          <w:sz w:val="24"/>
          <w:szCs w:val="24"/>
          <w:lang w:eastAsia="en-GB"/>
        </w:rPr>
        <w:t xml:space="preserve">Propensity scores for ischemic stroke, </w:t>
      </w:r>
      <w:proofErr w:type="spellStart"/>
      <w:r w:rsidRPr="00B77A96">
        <w:rPr>
          <w:rFonts w:ascii="Times New Roman" w:eastAsia="Times New Roman" w:hAnsi="Times New Roman" w:cs="Times New Roman"/>
          <w:color w:val="000000"/>
          <w:sz w:val="24"/>
          <w:szCs w:val="24"/>
          <w:lang w:eastAsia="en-GB"/>
        </w:rPr>
        <w:t>nontraumatic</w:t>
      </w:r>
      <w:proofErr w:type="spellEnd"/>
      <w:r w:rsidRPr="00B77A96">
        <w:rPr>
          <w:rFonts w:ascii="Times New Roman" w:eastAsia="Times New Roman" w:hAnsi="Times New Roman" w:cs="Times New Roman"/>
          <w:color w:val="000000"/>
          <w:sz w:val="24"/>
          <w:szCs w:val="24"/>
          <w:lang w:eastAsia="en-GB"/>
        </w:rPr>
        <w:t xml:space="preserve"> intracranial hemorrhage, any hemorrhage</w:t>
      </w:r>
      <w:r>
        <w:rPr>
          <w:rFonts w:ascii="Times New Roman" w:eastAsia="Times New Roman" w:hAnsi="Times New Roman" w:cs="Times New Roman"/>
          <w:color w:val="000000"/>
          <w:sz w:val="24"/>
          <w:szCs w:val="24"/>
          <w:lang w:eastAsia="en-GB"/>
        </w:rPr>
        <w:t>,</w:t>
      </w:r>
      <w:r w:rsidRPr="00B77A96">
        <w:rPr>
          <w:rFonts w:ascii="Times New Roman" w:eastAsia="Times New Roman" w:hAnsi="Times New Roman" w:cs="Times New Roman"/>
          <w:color w:val="000000"/>
          <w:sz w:val="24"/>
          <w:szCs w:val="24"/>
          <w:lang w:eastAsia="en-GB"/>
        </w:rPr>
        <w:t xml:space="preserve"> and death compared to no treatment.</w:t>
      </w:r>
    </w:p>
    <w:p w:rsidR="00D45EB5" w:rsidRPr="00B77A96" w:rsidRDefault="00D45EB5" w:rsidP="00D45EB5">
      <w:pPr>
        <w:tabs>
          <w:tab w:val="left" w:pos="360"/>
        </w:tabs>
        <w:spacing w:after="0" w:line="240" w:lineRule="auto"/>
        <w:rPr>
          <w:rFonts w:ascii="Times New Roman" w:hAnsi="Times New Roman" w:cs="Times New Roman"/>
          <w:sz w:val="24"/>
          <w:szCs w:val="24"/>
        </w:rPr>
      </w:pPr>
    </w:p>
    <w:tbl>
      <w:tblPr>
        <w:tblStyle w:val="Tabelamrea1"/>
        <w:tblW w:w="8389" w:type="dxa"/>
        <w:tblLook w:val="04A0" w:firstRow="1" w:lastRow="0" w:firstColumn="1" w:lastColumn="0" w:noHBand="0" w:noVBand="1"/>
      </w:tblPr>
      <w:tblGrid>
        <w:gridCol w:w="1425"/>
        <w:gridCol w:w="1645"/>
        <w:gridCol w:w="2163"/>
        <w:gridCol w:w="1535"/>
        <w:gridCol w:w="1621"/>
      </w:tblGrid>
      <w:tr w:rsidR="00D45EB5" w:rsidRPr="006D0CA0" w:rsidTr="00623131">
        <w:trPr>
          <w:trHeight w:val="705"/>
        </w:trPr>
        <w:tc>
          <w:tcPr>
            <w:tcW w:w="1425" w:type="dxa"/>
            <w:tcBorders>
              <w:top w:val="single" w:sz="12" w:space="0" w:color="auto"/>
              <w:left w:val="single" w:sz="12" w:space="0" w:color="auto"/>
              <w:bottom w:val="single" w:sz="12" w:space="0" w:color="auto"/>
              <w:right w:val="single" w:sz="4" w:space="0" w:color="auto"/>
            </w:tcBorders>
          </w:tcPr>
          <w:p w:rsidR="00D45EB5" w:rsidRPr="00B77A96" w:rsidRDefault="00D45EB5" w:rsidP="00623131">
            <w:pPr>
              <w:tabs>
                <w:tab w:val="left" w:pos="360"/>
              </w:tabs>
              <w:rPr>
                <w:rFonts w:ascii="Times New Roman" w:eastAsia="Times New Roman" w:hAnsi="Times New Roman" w:cs="Times New Roman"/>
                <w:b/>
                <w:color w:val="000000"/>
                <w:sz w:val="20"/>
                <w:szCs w:val="20"/>
                <w:lang w:val="en-US" w:eastAsia="en-GB"/>
              </w:rPr>
            </w:pPr>
          </w:p>
        </w:tc>
        <w:tc>
          <w:tcPr>
            <w:tcW w:w="1645" w:type="dxa"/>
            <w:tcBorders>
              <w:top w:val="single" w:sz="12" w:space="0" w:color="auto"/>
              <w:left w:val="single" w:sz="4" w:space="0" w:color="auto"/>
              <w:bottom w:val="single" w:sz="12" w:space="0" w:color="auto"/>
              <w:right w:val="single" w:sz="4" w:space="0" w:color="auto"/>
            </w:tcBorders>
          </w:tcPr>
          <w:p w:rsidR="00D45EB5" w:rsidRPr="00B77A96" w:rsidRDefault="00D45EB5" w:rsidP="00623131">
            <w:pPr>
              <w:tabs>
                <w:tab w:val="left" w:pos="360"/>
              </w:tabs>
              <w:jc w:val="center"/>
              <w:rPr>
                <w:rFonts w:ascii="Times New Roman" w:eastAsia="Calibri" w:hAnsi="Times New Roman" w:cs="Times New Roman"/>
                <w:b/>
                <w:sz w:val="20"/>
                <w:szCs w:val="20"/>
                <w:lang w:val="en-US"/>
              </w:rPr>
            </w:pPr>
            <w:r w:rsidRPr="00B77A96">
              <w:rPr>
                <w:rFonts w:ascii="Times New Roman" w:eastAsia="Calibri" w:hAnsi="Times New Roman" w:cs="Times New Roman"/>
                <w:b/>
                <w:sz w:val="20"/>
                <w:szCs w:val="20"/>
                <w:lang w:val="en-US"/>
              </w:rPr>
              <w:t>HR for ischemic stroke (95% CI)</w:t>
            </w:r>
          </w:p>
        </w:tc>
        <w:tc>
          <w:tcPr>
            <w:tcW w:w="2163" w:type="dxa"/>
            <w:tcBorders>
              <w:top w:val="single" w:sz="12" w:space="0" w:color="auto"/>
              <w:left w:val="single" w:sz="4" w:space="0" w:color="auto"/>
              <w:bottom w:val="single" w:sz="12" w:space="0" w:color="auto"/>
              <w:right w:val="single" w:sz="4" w:space="0" w:color="auto"/>
            </w:tcBorders>
          </w:tcPr>
          <w:p w:rsidR="00D45EB5" w:rsidRPr="00B77A96" w:rsidRDefault="00D45EB5" w:rsidP="00623131">
            <w:pPr>
              <w:tabs>
                <w:tab w:val="left" w:pos="360"/>
              </w:tabs>
              <w:jc w:val="center"/>
              <w:rPr>
                <w:rFonts w:ascii="Times New Roman" w:eastAsia="Calibri" w:hAnsi="Times New Roman" w:cs="Times New Roman"/>
                <w:b/>
                <w:sz w:val="20"/>
                <w:szCs w:val="20"/>
                <w:lang w:val="en-US"/>
              </w:rPr>
            </w:pPr>
            <w:r w:rsidRPr="00B77A96">
              <w:rPr>
                <w:rFonts w:ascii="Times New Roman" w:eastAsia="Calibri" w:hAnsi="Times New Roman" w:cs="Times New Roman"/>
                <w:b/>
                <w:sz w:val="20"/>
                <w:szCs w:val="20"/>
                <w:lang w:val="en-US"/>
              </w:rPr>
              <w:t xml:space="preserve">HR for </w:t>
            </w:r>
            <w:proofErr w:type="spellStart"/>
            <w:r w:rsidRPr="00B77A96">
              <w:rPr>
                <w:rFonts w:ascii="Times New Roman" w:eastAsia="Calibri" w:hAnsi="Times New Roman" w:cs="Times New Roman"/>
                <w:b/>
                <w:sz w:val="20"/>
                <w:szCs w:val="20"/>
                <w:lang w:val="en-US"/>
              </w:rPr>
              <w:t>nontraumatic</w:t>
            </w:r>
            <w:proofErr w:type="spellEnd"/>
            <w:r w:rsidRPr="00B77A96">
              <w:rPr>
                <w:rFonts w:ascii="Times New Roman" w:eastAsia="Calibri" w:hAnsi="Times New Roman" w:cs="Times New Roman"/>
                <w:b/>
                <w:sz w:val="20"/>
                <w:szCs w:val="20"/>
                <w:lang w:val="en-US"/>
              </w:rPr>
              <w:t xml:space="preserve"> intracranial hemorrhage (95% CI)</w:t>
            </w:r>
          </w:p>
        </w:tc>
        <w:tc>
          <w:tcPr>
            <w:tcW w:w="1535" w:type="dxa"/>
            <w:tcBorders>
              <w:top w:val="single" w:sz="12" w:space="0" w:color="auto"/>
              <w:left w:val="single" w:sz="4" w:space="0" w:color="auto"/>
              <w:bottom w:val="single" w:sz="12" w:space="0" w:color="auto"/>
              <w:right w:val="single" w:sz="4" w:space="0" w:color="auto"/>
            </w:tcBorders>
          </w:tcPr>
          <w:p w:rsidR="00D45EB5" w:rsidRPr="00B77A96" w:rsidRDefault="00D45EB5" w:rsidP="00623131">
            <w:pPr>
              <w:tabs>
                <w:tab w:val="left" w:pos="360"/>
              </w:tabs>
              <w:jc w:val="center"/>
              <w:rPr>
                <w:rFonts w:ascii="Times New Roman" w:eastAsia="Calibri" w:hAnsi="Times New Roman" w:cs="Times New Roman"/>
                <w:b/>
                <w:sz w:val="20"/>
                <w:szCs w:val="20"/>
                <w:lang w:val="en-US"/>
              </w:rPr>
            </w:pPr>
            <w:r w:rsidRPr="00B77A96">
              <w:rPr>
                <w:rFonts w:ascii="Times New Roman" w:eastAsia="Calibri" w:hAnsi="Times New Roman" w:cs="Times New Roman"/>
                <w:b/>
                <w:sz w:val="20"/>
                <w:szCs w:val="20"/>
                <w:lang w:val="en-US"/>
              </w:rPr>
              <w:t>HR for any hemorrhage (95% CI)</w:t>
            </w:r>
          </w:p>
        </w:tc>
        <w:tc>
          <w:tcPr>
            <w:tcW w:w="1621" w:type="dxa"/>
            <w:tcBorders>
              <w:top w:val="single" w:sz="12" w:space="0" w:color="auto"/>
              <w:left w:val="single" w:sz="4" w:space="0" w:color="auto"/>
              <w:bottom w:val="single" w:sz="12" w:space="0" w:color="auto"/>
              <w:right w:val="single" w:sz="12" w:space="0" w:color="auto"/>
            </w:tcBorders>
          </w:tcPr>
          <w:p w:rsidR="00D45EB5" w:rsidRPr="00B77A96" w:rsidRDefault="00D45EB5" w:rsidP="00623131">
            <w:pPr>
              <w:tabs>
                <w:tab w:val="left" w:pos="360"/>
              </w:tabs>
              <w:jc w:val="center"/>
              <w:rPr>
                <w:rFonts w:ascii="Times New Roman" w:eastAsia="Calibri" w:hAnsi="Times New Roman" w:cs="Times New Roman"/>
                <w:b/>
                <w:sz w:val="20"/>
                <w:szCs w:val="20"/>
                <w:lang w:val="en-US"/>
              </w:rPr>
            </w:pPr>
            <w:r w:rsidRPr="00B77A96">
              <w:rPr>
                <w:rFonts w:ascii="Times New Roman" w:eastAsia="Calibri" w:hAnsi="Times New Roman" w:cs="Times New Roman"/>
                <w:b/>
                <w:sz w:val="20"/>
                <w:szCs w:val="20"/>
                <w:lang w:val="en-US"/>
              </w:rPr>
              <w:t>HR for death (95% CI)</w:t>
            </w:r>
          </w:p>
        </w:tc>
      </w:tr>
      <w:tr w:rsidR="00D45EB5" w:rsidRPr="006D0CA0" w:rsidTr="00623131">
        <w:trPr>
          <w:trHeight w:val="43"/>
        </w:trPr>
        <w:tc>
          <w:tcPr>
            <w:tcW w:w="1425" w:type="dxa"/>
            <w:tcBorders>
              <w:top w:val="single" w:sz="12" w:space="0" w:color="auto"/>
              <w:left w:val="single" w:sz="12" w:space="0" w:color="auto"/>
              <w:bottom w:val="single" w:sz="4" w:space="0" w:color="auto"/>
              <w:right w:val="single" w:sz="4" w:space="0" w:color="auto"/>
            </w:tcBorders>
          </w:tcPr>
          <w:p w:rsidR="00D45EB5" w:rsidRPr="00B77A96" w:rsidRDefault="00D45EB5" w:rsidP="00623131">
            <w:pPr>
              <w:tabs>
                <w:tab w:val="left" w:pos="360"/>
              </w:tabs>
              <w:rPr>
                <w:rFonts w:ascii="Times New Roman" w:eastAsia="Times New Roman" w:hAnsi="Times New Roman" w:cs="Times New Roman"/>
                <w:b/>
                <w:color w:val="000000"/>
                <w:sz w:val="20"/>
                <w:szCs w:val="20"/>
                <w:lang w:val="en-US" w:eastAsia="en-GB"/>
              </w:rPr>
            </w:pPr>
            <w:r w:rsidRPr="00B77A96">
              <w:rPr>
                <w:rFonts w:ascii="Times New Roman" w:eastAsia="Calibri" w:hAnsi="Times New Roman" w:cs="Times New Roman"/>
                <w:b/>
                <w:sz w:val="20"/>
                <w:szCs w:val="20"/>
                <w:lang w:val="en-US"/>
              </w:rPr>
              <w:t>No treatment</w:t>
            </w:r>
          </w:p>
        </w:tc>
        <w:tc>
          <w:tcPr>
            <w:tcW w:w="1645" w:type="dxa"/>
            <w:tcBorders>
              <w:top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Ref.</w:t>
            </w:r>
          </w:p>
        </w:tc>
        <w:tc>
          <w:tcPr>
            <w:tcW w:w="2163" w:type="dxa"/>
            <w:tcBorders>
              <w:top w:val="single" w:sz="12" w:space="0" w:color="auto"/>
            </w:tcBorders>
          </w:tcPr>
          <w:p w:rsidR="00D45EB5" w:rsidRPr="00B77A96" w:rsidRDefault="00D45EB5" w:rsidP="00623131">
            <w:pPr>
              <w:tabs>
                <w:tab w:val="left" w:pos="360"/>
              </w:tabs>
              <w:jc w:val="center"/>
              <w:rPr>
                <w:rFonts w:ascii="Times New Roman" w:eastAsia="Times New Roman" w:hAnsi="Times New Roman" w:cs="Times New Roman"/>
                <w:color w:val="000000"/>
                <w:sz w:val="20"/>
                <w:szCs w:val="20"/>
                <w:lang w:val="en-US" w:eastAsia="en-GB"/>
              </w:rPr>
            </w:pPr>
            <w:r w:rsidRPr="00B77A96">
              <w:rPr>
                <w:rFonts w:ascii="Times New Roman" w:eastAsia="Times New Roman" w:hAnsi="Times New Roman" w:cs="Times New Roman"/>
                <w:color w:val="000000"/>
                <w:sz w:val="20"/>
                <w:szCs w:val="20"/>
                <w:lang w:val="en-US" w:eastAsia="en-GB"/>
              </w:rPr>
              <w:t>Ref.</w:t>
            </w:r>
          </w:p>
        </w:tc>
        <w:tc>
          <w:tcPr>
            <w:tcW w:w="1535" w:type="dxa"/>
            <w:tcBorders>
              <w:top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Ref.</w:t>
            </w:r>
          </w:p>
        </w:tc>
        <w:tc>
          <w:tcPr>
            <w:tcW w:w="1621" w:type="dxa"/>
            <w:tcBorders>
              <w:top w:val="single" w:sz="12" w:space="0" w:color="auto"/>
              <w:right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Ref.</w:t>
            </w:r>
          </w:p>
        </w:tc>
      </w:tr>
      <w:tr w:rsidR="00D45EB5" w:rsidRPr="006D0CA0" w:rsidTr="00623131">
        <w:trPr>
          <w:trHeight w:val="63"/>
        </w:trPr>
        <w:tc>
          <w:tcPr>
            <w:tcW w:w="1425" w:type="dxa"/>
            <w:tcBorders>
              <w:top w:val="single" w:sz="4" w:space="0" w:color="auto"/>
              <w:left w:val="single" w:sz="12" w:space="0" w:color="auto"/>
              <w:bottom w:val="single" w:sz="4" w:space="0" w:color="auto"/>
              <w:right w:val="single" w:sz="4" w:space="0" w:color="auto"/>
            </w:tcBorders>
          </w:tcPr>
          <w:p w:rsidR="00D45EB5" w:rsidRPr="00B77A96" w:rsidRDefault="00D45EB5" w:rsidP="00623131">
            <w:pPr>
              <w:tabs>
                <w:tab w:val="left" w:pos="360"/>
              </w:tabs>
              <w:rPr>
                <w:rFonts w:ascii="Times New Roman" w:eastAsia="Times New Roman" w:hAnsi="Times New Roman" w:cs="Times New Roman"/>
                <w:b/>
                <w:color w:val="000000"/>
                <w:sz w:val="20"/>
                <w:szCs w:val="20"/>
                <w:lang w:val="en-US" w:eastAsia="en-GB"/>
              </w:rPr>
            </w:pPr>
            <w:r w:rsidRPr="00B77A96">
              <w:rPr>
                <w:rFonts w:ascii="Times New Roman" w:eastAsia="Calibri" w:hAnsi="Times New Roman" w:cs="Times New Roman"/>
                <w:b/>
                <w:sz w:val="20"/>
                <w:szCs w:val="20"/>
                <w:lang w:val="en-US"/>
              </w:rPr>
              <w:t>Warfarin</w:t>
            </w:r>
          </w:p>
        </w:tc>
        <w:tc>
          <w:tcPr>
            <w:tcW w:w="1645" w:type="dxa"/>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0.76 (0.59-0.98)*</w:t>
            </w:r>
          </w:p>
        </w:tc>
        <w:tc>
          <w:tcPr>
            <w:tcW w:w="2163" w:type="dxa"/>
          </w:tcPr>
          <w:p w:rsidR="00D45EB5" w:rsidRPr="00B77A96" w:rsidRDefault="00D45EB5" w:rsidP="00623131">
            <w:pPr>
              <w:tabs>
                <w:tab w:val="left" w:pos="360"/>
              </w:tabs>
              <w:jc w:val="center"/>
              <w:rPr>
                <w:rFonts w:ascii="Times New Roman" w:eastAsia="Times New Roman" w:hAnsi="Times New Roman" w:cs="Times New Roman"/>
                <w:color w:val="000000"/>
                <w:sz w:val="20"/>
                <w:szCs w:val="20"/>
                <w:lang w:val="en-US" w:eastAsia="en-GB"/>
              </w:rPr>
            </w:pPr>
            <w:r w:rsidRPr="00B77A96">
              <w:rPr>
                <w:rFonts w:ascii="Times New Roman" w:eastAsia="Times New Roman" w:hAnsi="Times New Roman" w:cs="Times New Roman"/>
                <w:color w:val="000000"/>
                <w:sz w:val="20"/>
                <w:szCs w:val="20"/>
                <w:lang w:val="en-US" w:eastAsia="en-GB"/>
              </w:rPr>
              <w:t>1.47 (0.91-2.37)</w:t>
            </w:r>
          </w:p>
        </w:tc>
        <w:tc>
          <w:tcPr>
            <w:tcW w:w="1535" w:type="dxa"/>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1.08 (0.86-1.34)</w:t>
            </w:r>
          </w:p>
        </w:tc>
        <w:tc>
          <w:tcPr>
            <w:tcW w:w="1621" w:type="dxa"/>
            <w:tcBorders>
              <w:right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0.88 (0.79-0.98)*</w:t>
            </w:r>
          </w:p>
        </w:tc>
      </w:tr>
      <w:tr w:rsidR="00D45EB5" w:rsidRPr="006D0CA0" w:rsidTr="00623131">
        <w:trPr>
          <w:trHeight w:val="63"/>
        </w:trPr>
        <w:tc>
          <w:tcPr>
            <w:tcW w:w="1425" w:type="dxa"/>
            <w:tcBorders>
              <w:top w:val="single" w:sz="4" w:space="0" w:color="auto"/>
              <w:left w:val="single" w:sz="12" w:space="0" w:color="auto"/>
              <w:bottom w:val="single" w:sz="12" w:space="0" w:color="auto"/>
              <w:right w:val="single" w:sz="4" w:space="0" w:color="auto"/>
            </w:tcBorders>
          </w:tcPr>
          <w:p w:rsidR="00D45EB5" w:rsidRPr="00B77A96" w:rsidRDefault="00D45EB5" w:rsidP="00623131">
            <w:pPr>
              <w:tabs>
                <w:tab w:val="left" w:pos="360"/>
              </w:tabs>
              <w:rPr>
                <w:rFonts w:ascii="Times New Roman" w:eastAsia="Times New Roman" w:hAnsi="Times New Roman" w:cs="Times New Roman"/>
                <w:b/>
                <w:color w:val="000000"/>
                <w:sz w:val="20"/>
                <w:szCs w:val="20"/>
                <w:lang w:val="en-US" w:eastAsia="en-GB"/>
              </w:rPr>
            </w:pPr>
            <w:proofErr w:type="spellStart"/>
            <w:r w:rsidRPr="00B77A96">
              <w:rPr>
                <w:rFonts w:ascii="Times New Roman" w:eastAsia="Calibri" w:hAnsi="Times New Roman" w:cs="Times New Roman"/>
                <w:b/>
                <w:sz w:val="20"/>
                <w:szCs w:val="20"/>
                <w:lang w:val="en-US"/>
              </w:rPr>
              <w:t>Antiplatelets</w:t>
            </w:r>
            <w:proofErr w:type="spellEnd"/>
          </w:p>
        </w:tc>
        <w:tc>
          <w:tcPr>
            <w:tcW w:w="1645" w:type="dxa"/>
            <w:tcBorders>
              <w:bottom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1.23 (1.00-1.51)*</w:t>
            </w:r>
          </w:p>
        </w:tc>
        <w:tc>
          <w:tcPr>
            <w:tcW w:w="2163" w:type="dxa"/>
            <w:tcBorders>
              <w:bottom w:val="single" w:sz="12" w:space="0" w:color="auto"/>
            </w:tcBorders>
          </w:tcPr>
          <w:p w:rsidR="00D45EB5" w:rsidRPr="00B77A96" w:rsidRDefault="00D45EB5" w:rsidP="00623131">
            <w:pPr>
              <w:tabs>
                <w:tab w:val="left" w:pos="360"/>
              </w:tabs>
              <w:jc w:val="center"/>
              <w:rPr>
                <w:rFonts w:ascii="Times New Roman" w:eastAsia="Times New Roman" w:hAnsi="Times New Roman" w:cs="Times New Roman"/>
                <w:color w:val="000000"/>
                <w:sz w:val="20"/>
                <w:szCs w:val="20"/>
                <w:lang w:val="en-US" w:eastAsia="en-GB"/>
              </w:rPr>
            </w:pPr>
            <w:r w:rsidRPr="00B77A96">
              <w:rPr>
                <w:rFonts w:ascii="Times New Roman" w:eastAsia="Times New Roman" w:hAnsi="Times New Roman" w:cs="Times New Roman"/>
                <w:color w:val="000000"/>
                <w:sz w:val="20"/>
                <w:szCs w:val="20"/>
                <w:lang w:val="en-US" w:eastAsia="en-GB"/>
              </w:rPr>
              <w:t>1.21 (0.77-1.90)</w:t>
            </w:r>
          </w:p>
        </w:tc>
        <w:tc>
          <w:tcPr>
            <w:tcW w:w="1535" w:type="dxa"/>
            <w:tcBorders>
              <w:bottom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0.84 (0.68-1.03)</w:t>
            </w:r>
          </w:p>
        </w:tc>
        <w:tc>
          <w:tcPr>
            <w:tcW w:w="1621" w:type="dxa"/>
            <w:tcBorders>
              <w:bottom w:val="single" w:sz="12" w:space="0" w:color="auto"/>
              <w:right w:val="single" w:sz="12" w:space="0" w:color="auto"/>
            </w:tcBorders>
          </w:tcPr>
          <w:p w:rsidR="00D45EB5" w:rsidRPr="00B77A96" w:rsidRDefault="00D45EB5" w:rsidP="00623131">
            <w:pPr>
              <w:tabs>
                <w:tab w:val="left" w:pos="360"/>
              </w:tabs>
              <w:jc w:val="center"/>
              <w:rPr>
                <w:rFonts w:ascii="Times New Roman" w:eastAsia="Calibri" w:hAnsi="Times New Roman" w:cs="Times New Roman"/>
                <w:sz w:val="20"/>
                <w:szCs w:val="20"/>
                <w:lang w:val="en-US"/>
              </w:rPr>
            </w:pPr>
            <w:r w:rsidRPr="00B77A96">
              <w:rPr>
                <w:rFonts w:ascii="Times New Roman" w:eastAsia="Calibri" w:hAnsi="Times New Roman" w:cs="Times New Roman"/>
                <w:sz w:val="20"/>
                <w:szCs w:val="20"/>
                <w:lang w:val="en-US"/>
              </w:rPr>
              <w:t>0.99 (0.90-1.08)</w:t>
            </w:r>
          </w:p>
        </w:tc>
      </w:tr>
    </w:tbl>
    <w:p w:rsidR="00D45EB5" w:rsidRPr="006D0CA0" w:rsidRDefault="00D45EB5" w:rsidP="00D45EB5">
      <w:pPr>
        <w:tabs>
          <w:tab w:val="left" w:pos="360"/>
        </w:tabs>
        <w:spacing w:after="0" w:line="240" w:lineRule="auto"/>
        <w:rPr>
          <w:rFonts w:ascii="Times New Roman" w:eastAsia="Times New Roman" w:hAnsi="Times New Roman" w:cs="Times New Roman"/>
          <w:b/>
          <w:color w:val="000000"/>
          <w:sz w:val="24"/>
          <w:szCs w:val="24"/>
          <w:lang w:eastAsia="en-GB"/>
        </w:rPr>
      </w:pPr>
    </w:p>
    <w:p w:rsidR="00D45EB5" w:rsidRPr="00E85F9E" w:rsidRDefault="00D45EB5" w:rsidP="00D45EB5">
      <w:pPr>
        <w:tabs>
          <w:tab w:val="left" w:pos="360"/>
        </w:tabs>
        <w:spacing w:after="0" w:line="240" w:lineRule="auto"/>
        <w:rPr>
          <w:rFonts w:ascii="Times New Roman" w:eastAsia="Times New Roman" w:hAnsi="Times New Roman" w:cs="Times New Roman"/>
          <w:color w:val="000000"/>
          <w:sz w:val="20"/>
          <w:szCs w:val="20"/>
          <w:lang w:eastAsia="en-GB"/>
        </w:rPr>
      </w:pPr>
      <w:r w:rsidRPr="00E85F9E">
        <w:rPr>
          <w:rFonts w:ascii="Times New Roman" w:eastAsia="Times New Roman" w:hAnsi="Times New Roman" w:cs="Times New Roman"/>
          <w:color w:val="000000"/>
          <w:sz w:val="20"/>
          <w:szCs w:val="20"/>
          <w:lang w:eastAsia="en-GB"/>
        </w:rPr>
        <w:t xml:space="preserve">Propensity scores were obtained from multiple logistic regression including the variables age, sex, number of medication, MMSE, dementia type (Alzheimer’s dementia versus others), nursing home placement, previous diagnosis of diabetes, hypertension, heart failure, pacemaker, ischemic stroke, any-cause hemorrhage, anemia, gastrointestinal bleeding, hip fracture, liver diseases and kidney diseases. Hazard ratios (HR) and 95% confidence intervals (CI) for the association of treatment with warfarin or </w:t>
      </w:r>
      <w:proofErr w:type="spellStart"/>
      <w:r w:rsidRPr="00E85F9E">
        <w:rPr>
          <w:rFonts w:ascii="Times New Roman" w:eastAsia="Times New Roman" w:hAnsi="Times New Roman" w:cs="Times New Roman"/>
          <w:color w:val="000000"/>
          <w:sz w:val="20"/>
          <w:szCs w:val="20"/>
          <w:lang w:eastAsia="en-GB"/>
        </w:rPr>
        <w:t>antiplatelets</w:t>
      </w:r>
      <w:proofErr w:type="spellEnd"/>
      <w:r w:rsidRPr="00E85F9E">
        <w:rPr>
          <w:rFonts w:ascii="Times New Roman" w:eastAsia="Times New Roman" w:hAnsi="Times New Roman" w:cs="Times New Roman"/>
          <w:color w:val="000000"/>
          <w:sz w:val="20"/>
          <w:szCs w:val="20"/>
          <w:lang w:eastAsia="en-GB"/>
        </w:rPr>
        <w:t xml:space="preserve"> (aspirin or </w:t>
      </w:r>
      <w:proofErr w:type="spellStart"/>
      <w:r w:rsidRPr="00E85F9E">
        <w:rPr>
          <w:rFonts w:ascii="Times New Roman" w:eastAsia="Times New Roman" w:hAnsi="Times New Roman" w:cs="Times New Roman"/>
          <w:color w:val="000000"/>
          <w:sz w:val="20"/>
          <w:szCs w:val="20"/>
          <w:lang w:eastAsia="en-GB"/>
        </w:rPr>
        <w:t>clopidogrel</w:t>
      </w:r>
      <w:proofErr w:type="spellEnd"/>
      <w:r w:rsidRPr="00E85F9E">
        <w:rPr>
          <w:rFonts w:ascii="Times New Roman" w:eastAsia="Times New Roman" w:hAnsi="Times New Roman" w:cs="Times New Roman"/>
          <w:color w:val="000000"/>
          <w:sz w:val="20"/>
          <w:szCs w:val="20"/>
          <w:lang w:eastAsia="en-GB"/>
        </w:rPr>
        <w:t xml:space="preserve">) and risk of ischemic or </w:t>
      </w:r>
      <w:proofErr w:type="spellStart"/>
      <w:r w:rsidRPr="00E85F9E">
        <w:rPr>
          <w:rFonts w:ascii="Times New Roman" w:eastAsia="Times New Roman" w:hAnsi="Times New Roman" w:cs="Times New Roman"/>
          <w:color w:val="000000"/>
          <w:sz w:val="20"/>
          <w:szCs w:val="20"/>
          <w:lang w:eastAsia="en-GB"/>
        </w:rPr>
        <w:t>nontraumatic</w:t>
      </w:r>
      <w:proofErr w:type="spellEnd"/>
      <w:r w:rsidRPr="00E85F9E">
        <w:rPr>
          <w:rFonts w:ascii="Times New Roman" w:eastAsia="Times New Roman" w:hAnsi="Times New Roman" w:cs="Times New Roman"/>
          <w:color w:val="000000"/>
          <w:sz w:val="20"/>
          <w:szCs w:val="20"/>
          <w:lang w:eastAsia="en-GB"/>
        </w:rPr>
        <w:t xml:space="preserve"> intracranial hemorrhage and death after dementia diagnosis are presented.</w:t>
      </w:r>
    </w:p>
    <w:p w:rsidR="00D45EB5" w:rsidRDefault="00D45EB5">
      <w:bookmarkStart w:id="0" w:name="_GoBack"/>
      <w:bookmarkEnd w:id="0"/>
    </w:p>
    <w:sectPr w:rsidR="00D45EB5" w:rsidSect="00E85F9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5"/>
    <w:rsid w:val="003E3958"/>
    <w:rsid w:val="00D4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1">
    <w:name w:val="Tabela – mreža1"/>
    <w:basedOn w:val="TableNormal"/>
    <w:next w:val="TableGrid"/>
    <w:uiPriority w:val="59"/>
    <w:rsid w:val="00D45EB5"/>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4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1">
    <w:name w:val="Tabela – mreža1"/>
    <w:basedOn w:val="TableNormal"/>
    <w:next w:val="TableGrid"/>
    <w:uiPriority w:val="59"/>
    <w:rsid w:val="00D45EB5"/>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4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2017-12-27T13:55:00Z</dcterms:created>
  <dcterms:modified xsi:type="dcterms:W3CDTF">2017-12-27T13:56:00Z</dcterms:modified>
</cp:coreProperties>
</file>