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1F" w:rsidRPr="00273453" w:rsidRDefault="0002101F" w:rsidP="0002101F">
      <w:pPr>
        <w:tabs>
          <w:tab w:val="left" w:pos="360"/>
        </w:tabs>
        <w:spacing w:after="0" w:line="480" w:lineRule="auto"/>
        <w:outlineLvl w:val="0"/>
        <w:rPr>
          <w:rFonts w:ascii="Times New Roman" w:hAnsi="Times New Roman"/>
          <w:b/>
          <w:iCs/>
          <w:sz w:val="32"/>
          <w:szCs w:val="32"/>
        </w:rPr>
      </w:pPr>
      <w:r w:rsidRPr="00273453">
        <w:rPr>
          <w:rFonts w:ascii="Times New Roman" w:hAnsi="Times New Roman"/>
          <w:b/>
          <w:iCs/>
          <w:sz w:val="32"/>
          <w:szCs w:val="32"/>
        </w:rPr>
        <w:t xml:space="preserve">Supplementary Material </w:t>
      </w:r>
    </w:p>
    <w:p w:rsidR="0002101F" w:rsidRPr="00371EA1" w:rsidRDefault="0002101F" w:rsidP="0002101F">
      <w:pPr>
        <w:tabs>
          <w:tab w:val="left" w:pos="360"/>
        </w:tabs>
        <w:spacing w:after="0" w:line="480" w:lineRule="auto"/>
        <w:rPr>
          <w:rFonts w:ascii="Times New Roman" w:hAnsi="Times New Roman"/>
          <w:b/>
          <w:iCs/>
          <w:sz w:val="24"/>
          <w:szCs w:val="24"/>
        </w:rPr>
      </w:pPr>
    </w:p>
    <w:p w:rsidR="0002101F" w:rsidRPr="00371EA1" w:rsidRDefault="0002101F" w:rsidP="0002101F">
      <w:pPr>
        <w:tabs>
          <w:tab w:val="left" w:pos="360"/>
        </w:tabs>
        <w:spacing w:after="0" w:line="480" w:lineRule="auto"/>
        <w:outlineLvl w:val="0"/>
        <w:rPr>
          <w:rFonts w:ascii="Times New Roman" w:hAnsi="Times New Roman"/>
          <w:b/>
          <w:iCs/>
          <w:sz w:val="24"/>
          <w:szCs w:val="24"/>
        </w:rPr>
      </w:pPr>
      <w:r w:rsidRPr="00371EA1">
        <w:rPr>
          <w:rFonts w:ascii="Times New Roman" w:hAnsi="Times New Roman"/>
          <w:b/>
          <w:iCs/>
          <w:sz w:val="24"/>
          <w:szCs w:val="24"/>
        </w:rPr>
        <w:t xml:space="preserve">SUPPLEMENTARY METHODS </w:t>
      </w:r>
    </w:p>
    <w:p w:rsidR="0002101F" w:rsidRPr="00273453" w:rsidRDefault="0002101F" w:rsidP="0002101F">
      <w:pPr>
        <w:tabs>
          <w:tab w:val="left" w:pos="360"/>
        </w:tabs>
        <w:snapToGrid w:val="0"/>
        <w:spacing w:after="0" w:line="480" w:lineRule="auto"/>
        <w:outlineLvl w:val="0"/>
        <w:rPr>
          <w:rFonts w:ascii="Times New Roman" w:hAnsi="Times New Roman"/>
          <w:i/>
          <w:sz w:val="24"/>
          <w:szCs w:val="24"/>
        </w:rPr>
      </w:pPr>
      <w:r w:rsidRPr="00273453">
        <w:rPr>
          <w:rFonts w:ascii="Times New Roman" w:hAnsi="Times New Roman"/>
          <w:i/>
          <w:sz w:val="24"/>
          <w:szCs w:val="24"/>
        </w:rPr>
        <w:t>Sample size</w:t>
      </w:r>
    </w:p>
    <w:p w:rsidR="0002101F" w:rsidRPr="00371EA1" w:rsidRDefault="0002101F" w:rsidP="0002101F">
      <w:pPr>
        <w:tabs>
          <w:tab w:val="left" w:pos="360"/>
        </w:tabs>
        <w:snapToGrid w:val="0"/>
        <w:spacing w:after="0" w:line="480" w:lineRule="auto"/>
        <w:rPr>
          <w:rFonts w:ascii="Times New Roman" w:hAnsi="Times New Roman"/>
          <w:sz w:val="24"/>
          <w:szCs w:val="24"/>
          <w:lang w:eastAsia="it-IT"/>
        </w:rPr>
      </w:pPr>
      <w:r>
        <w:rPr>
          <w:rFonts w:ascii="Times New Roman" w:hAnsi="Times New Roman"/>
          <w:sz w:val="24"/>
          <w:szCs w:val="24"/>
          <w:lang w:eastAsia="it-IT"/>
        </w:rPr>
        <w:tab/>
      </w:r>
      <w:r w:rsidRPr="00371EA1">
        <w:rPr>
          <w:rFonts w:ascii="Times New Roman" w:hAnsi="Times New Roman"/>
          <w:sz w:val="24"/>
          <w:szCs w:val="24"/>
          <w:lang w:eastAsia="it-IT"/>
        </w:rPr>
        <w:t>The lack of prior studies with similar sample population, intervention, and outcome measures did not allow an a priori power analysis. Sample size was a priori determined taking into account sample sizes from previous studies and reviews on cognitive rehabilitation, as well as feasibility and timing, and a foreseen target of 40 patients was established. According to the study chronogram, administration of the neuropsychological rehabilitation program lasted 18 months, and 20 treated patients corresponded to a total of 800 h of individual attention process training, and to approximately 45 h of rehabilitation activities in a month. This workload was in line with the availability of dedicated space, setting, and personnel.</w:t>
      </w:r>
    </w:p>
    <w:p w:rsidR="0002101F" w:rsidRPr="00371EA1" w:rsidRDefault="0002101F" w:rsidP="0002101F">
      <w:pPr>
        <w:tabs>
          <w:tab w:val="left" w:pos="360"/>
        </w:tabs>
        <w:snapToGrid w:val="0"/>
        <w:spacing w:after="0" w:line="480" w:lineRule="auto"/>
        <w:rPr>
          <w:rFonts w:ascii="Times New Roman" w:hAnsi="Times New Roman"/>
          <w:b/>
          <w:sz w:val="24"/>
          <w:szCs w:val="24"/>
        </w:rPr>
      </w:pPr>
    </w:p>
    <w:p w:rsidR="0002101F" w:rsidRPr="00273453" w:rsidRDefault="0002101F" w:rsidP="0002101F">
      <w:pPr>
        <w:tabs>
          <w:tab w:val="left" w:pos="360"/>
        </w:tabs>
        <w:snapToGrid w:val="0"/>
        <w:spacing w:after="0" w:line="480" w:lineRule="auto"/>
        <w:outlineLvl w:val="0"/>
        <w:rPr>
          <w:rFonts w:ascii="Times New Roman" w:hAnsi="Times New Roman"/>
          <w:i/>
          <w:sz w:val="24"/>
          <w:szCs w:val="24"/>
          <w:lang w:eastAsia="it-IT"/>
        </w:rPr>
      </w:pPr>
      <w:r w:rsidRPr="00273453">
        <w:rPr>
          <w:rFonts w:ascii="Times New Roman" w:hAnsi="Times New Roman"/>
          <w:i/>
          <w:sz w:val="24"/>
          <w:szCs w:val="24"/>
        </w:rPr>
        <w:t xml:space="preserve">Randomization </w:t>
      </w:r>
    </w:p>
    <w:p w:rsidR="0002101F" w:rsidRPr="00371EA1" w:rsidRDefault="0002101F" w:rsidP="0002101F">
      <w:pPr>
        <w:tabs>
          <w:tab w:val="left" w:pos="360"/>
        </w:tabs>
        <w:autoSpaceDE w:val="0"/>
        <w:autoSpaceDN w:val="0"/>
        <w:adjustRightInd w:val="0"/>
        <w:spacing w:after="0" w:line="480" w:lineRule="auto"/>
        <w:rPr>
          <w:rFonts w:ascii="Times New Roman" w:hAnsi="Times New Roman"/>
          <w:bCs/>
          <w:sz w:val="24"/>
          <w:szCs w:val="24"/>
        </w:rPr>
      </w:pPr>
      <w:r>
        <w:rPr>
          <w:rFonts w:ascii="Times New Roman" w:hAnsi="Times New Roman"/>
          <w:sz w:val="24"/>
          <w:szCs w:val="24"/>
          <w:lang w:eastAsia="it-IT"/>
        </w:rPr>
        <w:tab/>
      </w:r>
      <w:r w:rsidRPr="00371EA1">
        <w:rPr>
          <w:rFonts w:ascii="Times New Roman" w:hAnsi="Times New Roman"/>
          <w:sz w:val="24"/>
          <w:szCs w:val="24"/>
          <w:lang w:eastAsia="it-IT"/>
        </w:rPr>
        <w:t xml:space="preserve">The </w:t>
      </w:r>
      <w:proofErr w:type="spellStart"/>
      <w:r w:rsidRPr="00371EA1">
        <w:rPr>
          <w:rFonts w:ascii="Times New Roman" w:hAnsi="Times New Roman"/>
          <w:sz w:val="24"/>
          <w:szCs w:val="24"/>
          <w:lang w:eastAsia="it-IT"/>
        </w:rPr>
        <w:t>Reh</w:t>
      </w:r>
      <w:r>
        <w:rPr>
          <w:rFonts w:ascii="Times New Roman" w:hAnsi="Times New Roman"/>
          <w:sz w:val="24"/>
          <w:szCs w:val="24"/>
          <w:lang w:eastAsia="it-IT"/>
        </w:rPr>
        <w:t>A</w:t>
      </w:r>
      <w:r w:rsidRPr="00371EA1">
        <w:rPr>
          <w:rFonts w:ascii="Times New Roman" w:hAnsi="Times New Roman"/>
          <w:sz w:val="24"/>
          <w:szCs w:val="24"/>
          <w:lang w:eastAsia="it-IT"/>
        </w:rPr>
        <w:t>tt</w:t>
      </w:r>
      <w:proofErr w:type="spellEnd"/>
      <w:r w:rsidRPr="00371EA1">
        <w:rPr>
          <w:rFonts w:ascii="Times New Roman" w:hAnsi="Times New Roman"/>
          <w:sz w:val="24"/>
          <w:szCs w:val="24"/>
          <w:lang w:eastAsia="it-IT"/>
        </w:rPr>
        <w:t xml:space="preserve"> study included an intervention group (‘attention training’) and a control group (‘standard care’). After baseline assessment, participants were randomly assigned to ‘attention training’ or ‘standard care’ group. Stratified randomization was used to ensure the balance for possible prognostic factors (age, gender, and WMH degree) across the groups</w:t>
      </w:r>
      <w:r w:rsidRPr="00371EA1">
        <w:rPr>
          <w:rFonts w:ascii="Times New Roman" w:hAnsi="Times New Roman"/>
          <w:bCs/>
          <w:sz w:val="24"/>
          <w:szCs w:val="24"/>
        </w:rPr>
        <w:t xml:space="preserve">. </w:t>
      </w:r>
    </w:p>
    <w:p w:rsidR="0002101F" w:rsidRPr="00371EA1" w:rsidRDefault="0002101F" w:rsidP="0002101F">
      <w:pPr>
        <w:tabs>
          <w:tab w:val="left" w:pos="360"/>
        </w:tabs>
        <w:snapToGrid w:val="0"/>
        <w:spacing w:after="0" w:line="480" w:lineRule="auto"/>
        <w:rPr>
          <w:rFonts w:ascii="Times New Roman" w:hAnsi="Times New Roman"/>
          <w:b/>
          <w:i/>
          <w:sz w:val="24"/>
          <w:szCs w:val="24"/>
        </w:rPr>
      </w:pPr>
    </w:p>
    <w:p w:rsidR="0002101F" w:rsidRPr="00273453" w:rsidRDefault="0002101F" w:rsidP="0002101F">
      <w:pPr>
        <w:tabs>
          <w:tab w:val="left" w:pos="360"/>
        </w:tabs>
        <w:snapToGrid w:val="0"/>
        <w:spacing w:after="0" w:line="480" w:lineRule="auto"/>
        <w:outlineLvl w:val="0"/>
        <w:rPr>
          <w:rFonts w:ascii="Times New Roman" w:hAnsi="Times New Roman"/>
          <w:i/>
          <w:sz w:val="24"/>
          <w:szCs w:val="24"/>
        </w:rPr>
      </w:pPr>
      <w:r w:rsidRPr="00273453">
        <w:rPr>
          <w:rFonts w:ascii="Times New Roman" w:hAnsi="Times New Roman"/>
          <w:i/>
          <w:sz w:val="24"/>
          <w:szCs w:val="24"/>
        </w:rPr>
        <w:t xml:space="preserve">Interventions </w:t>
      </w:r>
    </w:p>
    <w:p w:rsidR="0002101F" w:rsidRPr="00371EA1" w:rsidRDefault="0002101F" w:rsidP="0002101F">
      <w:pPr>
        <w:tabs>
          <w:tab w:val="left" w:pos="360"/>
        </w:tabs>
        <w:autoSpaceDE w:val="0"/>
        <w:autoSpaceDN w:val="0"/>
        <w:adjustRightInd w:val="0"/>
        <w:spacing w:after="0" w:line="480" w:lineRule="auto"/>
        <w:rPr>
          <w:rFonts w:ascii="Times New Roman" w:hAnsi="Times New Roman"/>
          <w:sz w:val="24"/>
          <w:szCs w:val="24"/>
          <w:lang w:eastAsia="it-IT"/>
        </w:rPr>
      </w:pPr>
      <w:r>
        <w:rPr>
          <w:rFonts w:ascii="Times New Roman" w:hAnsi="Times New Roman"/>
          <w:sz w:val="24"/>
          <w:szCs w:val="24"/>
          <w:lang w:eastAsia="it-IT"/>
        </w:rPr>
        <w:tab/>
      </w:r>
      <w:r w:rsidRPr="00371EA1">
        <w:rPr>
          <w:rFonts w:ascii="Times New Roman" w:hAnsi="Times New Roman"/>
          <w:sz w:val="24"/>
          <w:szCs w:val="24"/>
          <w:lang w:eastAsia="it-IT"/>
        </w:rPr>
        <w:t>Participants in the ‘attention training’ group were scheduled to have weekly sessions of 2 h of individual attention process training for a total of 20 weeks. The APT-II program consist</w:t>
      </w:r>
      <w:r>
        <w:rPr>
          <w:rFonts w:ascii="Times New Roman" w:hAnsi="Times New Roman"/>
          <w:sz w:val="24"/>
          <w:szCs w:val="24"/>
          <w:lang w:eastAsia="it-IT"/>
        </w:rPr>
        <w:t>s</w:t>
      </w:r>
      <w:r w:rsidRPr="00371EA1">
        <w:rPr>
          <w:rFonts w:ascii="Times New Roman" w:hAnsi="Times New Roman"/>
          <w:sz w:val="24"/>
          <w:szCs w:val="24"/>
          <w:lang w:eastAsia="it-IT"/>
        </w:rPr>
        <w:t xml:space="preserve"> of a group of hierarchically organized tasks that exercise different components of attention, including: focused, sustained, selective, alternating, and divided attention. Some tasks are subject-paced while others are experimenter-paced, but in both cases, exercises </w:t>
      </w:r>
      <w:r w:rsidRPr="00371EA1">
        <w:rPr>
          <w:rFonts w:ascii="Times New Roman" w:hAnsi="Times New Roman"/>
          <w:sz w:val="24"/>
          <w:szCs w:val="24"/>
          <w:lang w:eastAsia="it-IT"/>
        </w:rPr>
        <w:lastRenderedPageBreak/>
        <w:t xml:space="preserve">typically take </w:t>
      </w:r>
      <w:r>
        <w:rPr>
          <w:rFonts w:ascii="Times New Roman" w:hAnsi="Times New Roman"/>
          <w:sz w:val="24"/>
          <w:szCs w:val="24"/>
          <w:lang w:eastAsia="it-IT"/>
        </w:rPr>
        <w:t>2-3</w:t>
      </w:r>
      <w:r w:rsidRPr="00371EA1">
        <w:rPr>
          <w:rFonts w:ascii="Times New Roman" w:hAnsi="Times New Roman"/>
          <w:sz w:val="24"/>
          <w:szCs w:val="24"/>
          <w:lang w:eastAsia="it-IT"/>
        </w:rPr>
        <w:t xml:space="preserve"> min to complete. The program tasks place increasing demands on complex </w:t>
      </w:r>
      <w:proofErr w:type="spellStart"/>
      <w:r w:rsidRPr="00371EA1">
        <w:rPr>
          <w:rFonts w:ascii="Times New Roman" w:hAnsi="Times New Roman"/>
          <w:sz w:val="24"/>
          <w:szCs w:val="24"/>
          <w:lang w:eastAsia="it-IT"/>
        </w:rPr>
        <w:t>attentional</w:t>
      </w:r>
      <w:proofErr w:type="spellEnd"/>
      <w:r w:rsidRPr="00371EA1">
        <w:rPr>
          <w:rFonts w:ascii="Times New Roman" w:hAnsi="Times New Roman"/>
          <w:sz w:val="24"/>
          <w:szCs w:val="24"/>
          <w:lang w:eastAsia="it-IT"/>
        </w:rPr>
        <w:t xml:space="preserve"> control and working memory systems, but do not have a heavy memory load and usually require the participant to classify stimuli. Examples of exercises include auditory attention tapes such as listening to descending number sequences, alphabetizing words in an orally presented sentence, detecting targets with the presence of distracter noise or complex semantic categorization tasks requiring switching sets. A number of tasks combine auditory and visual activities. Feedback about accuracy and speed of performance is provided after each exercise. Other aspects of performance</w:t>
      </w:r>
      <w:r>
        <w:rPr>
          <w:rFonts w:ascii="Times New Roman" w:hAnsi="Times New Roman"/>
          <w:sz w:val="24"/>
          <w:szCs w:val="24"/>
          <w:lang w:eastAsia="it-IT"/>
        </w:rPr>
        <w:t>,</w:t>
      </w:r>
      <w:r w:rsidRPr="00371EA1">
        <w:rPr>
          <w:rFonts w:ascii="Times New Roman" w:hAnsi="Times New Roman"/>
          <w:sz w:val="24"/>
          <w:szCs w:val="24"/>
          <w:lang w:eastAsia="it-IT"/>
        </w:rPr>
        <w:t xml:space="preserve"> such as patterns of errors</w:t>
      </w:r>
      <w:r>
        <w:rPr>
          <w:rFonts w:ascii="Times New Roman" w:hAnsi="Times New Roman"/>
          <w:sz w:val="24"/>
          <w:szCs w:val="24"/>
          <w:lang w:eastAsia="it-IT"/>
        </w:rPr>
        <w:t>,</w:t>
      </w:r>
      <w:r w:rsidRPr="00371EA1">
        <w:rPr>
          <w:rFonts w:ascii="Times New Roman" w:hAnsi="Times New Roman"/>
          <w:sz w:val="24"/>
          <w:szCs w:val="24"/>
          <w:lang w:eastAsia="it-IT"/>
        </w:rPr>
        <w:t xml:space="preserve"> are also discussed. As the program proceeds</w:t>
      </w:r>
      <w:r>
        <w:rPr>
          <w:rFonts w:ascii="Times New Roman" w:hAnsi="Times New Roman"/>
          <w:sz w:val="24"/>
          <w:szCs w:val="24"/>
          <w:lang w:eastAsia="it-IT"/>
        </w:rPr>
        <w:t>,</w:t>
      </w:r>
      <w:r w:rsidRPr="00371EA1">
        <w:rPr>
          <w:rFonts w:ascii="Times New Roman" w:hAnsi="Times New Roman"/>
          <w:sz w:val="24"/>
          <w:szCs w:val="24"/>
          <w:lang w:eastAsia="it-IT"/>
        </w:rPr>
        <w:t xml:space="preserve"> participants are educated about different types of attention and parallels between difficulties of daily living and problems performing particular APT-II exercises are pointed out.</w:t>
      </w:r>
    </w:p>
    <w:p w:rsidR="0002101F" w:rsidRPr="00371EA1" w:rsidRDefault="0002101F" w:rsidP="0002101F">
      <w:pPr>
        <w:tabs>
          <w:tab w:val="left" w:pos="360"/>
        </w:tabs>
        <w:autoSpaceDE w:val="0"/>
        <w:autoSpaceDN w:val="0"/>
        <w:adjustRightInd w:val="0"/>
        <w:spacing w:after="0" w:line="480" w:lineRule="auto"/>
        <w:rPr>
          <w:rFonts w:ascii="Times New Roman" w:hAnsi="Times New Roman"/>
          <w:sz w:val="24"/>
          <w:szCs w:val="24"/>
          <w:lang w:eastAsia="it-IT"/>
        </w:rPr>
      </w:pPr>
      <w:r>
        <w:rPr>
          <w:rFonts w:ascii="Times New Roman" w:hAnsi="Times New Roman"/>
          <w:sz w:val="24"/>
          <w:szCs w:val="24"/>
          <w:lang w:eastAsia="it-IT"/>
        </w:rPr>
        <w:tab/>
      </w:r>
      <w:r w:rsidRPr="00371EA1">
        <w:rPr>
          <w:rFonts w:ascii="Times New Roman" w:hAnsi="Times New Roman"/>
          <w:sz w:val="24"/>
          <w:szCs w:val="24"/>
          <w:lang w:eastAsia="it-IT"/>
        </w:rPr>
        <w:t xml:space="preserve">Participants in the ’standard care’ group did not receive cognitive interventions nor an active placebo treatment. We choose not to engage the control group in an alternative treatment because it could </w:t>
      </w:r>
      <w:r w:rsidRPr="00371EA1">
        <w:rPr>
          <w:rFonts w:ascii="Times New Roman" w:hAnsi="Times New Roman"/>
          <w:sz w:val="24"/>
          <w:szCs w:val="24"/>
        </w:rPr>
        <w:t>reduce the patients’ compliance in the study, be very demanding</w:t>
      </w:r>
      <w:r>
        <w:rPr>
          <w:rFonts w:ascii="Times New Roman" w:hAnsi="Times New Roman"/>
          <w:sz w:val="24"/>
          <w:szCs w:val="24"/>
        </w:rPr>
        <w:t>,</w:t>
      </w:r>
      <w:r w:rsidRPr="00371EA1">
        <w:rPr>
          <w:rFonts w:ascii="Times New Roman" w:hAnsi="Times New Roman"/>
          <w:sz w:val="24"/>
          <w:szCs w:val="24"/>
        </w:rPr>
        <w:t xml:space="preserve"> and, most importantly, questionable under ethics viewpoint. </w:t>
      </w:r>
      <w:r w:rsidRPr="00371EA1">
        <w:rPr>
          <w:rFonts w:ascii="Times New Roman" w:hAnsi="Times New Roman"/>
          <w:sz w:val="24"/>
          <w:szCs w:val="24"/>
          <w:lang w:eastAsia="it-IT"/>
        </w:rPr>
        <w:t>Participants in the ’standard care’ group have been instructed to have a usual lifestyle and to immediately communicate any change regarding medications or activities focused on cognition.</w:t>
      </w:r>
    </w:p>
    <w:p w:rsidR="0002101F" w:rsidRPr="00371EA1" w:rsidRDefault="0002101F" w:rsidP="0002101F">
      <w:pPr>
        <w:tabs>
          <w:tab w:val="left" w:pos="360"/>
        </w:tabs>
        <w:autoSpaceDE w:val="0"/>
        <w:autoSpaceDN w:val="0"/>
        <w:adjustRightInd w:val="0"/>
        <w:spacing w:after="0" w:line="480" w:lineRule="auto"/>
        <w:rPr>
          <w:rFonts w:ascii="Times New Roman" w:hAnsi="Times New Roman"/>
          <w:i/>
          <w:iCs/>
          <w:sz w:val="24"/>
          <w:szCs w:val="24"/>
        </w:rPr>
      </w:pPr>
    </w:p>
    <w:p w:rsidR="0002101F" w:rsidRPr="00273453" w:rsidRDefault="0002101F" w:rsidP="0002101F">
      <w:pPr>
        <w:tabs>
          <w:tab w:val="left" w:pos="360"/>
        </w:tabs>
        <w:snapToGrid w:val="0"/>
        <w:spacing w:after="0" w:line="480" w:lineRule="auto"/>
        <w:outlineLvl w:val="0"/>
        <w:rPr>
          <w:rFonts w:ascii="Times New Roman" w:hAnsi="Times New Roman"/>
          <w:i/>
          <w:sz w:val="24"/>
          <w:szCs w:val="24"/>
        </w:rPr>
      </w:pPr>
      <w:r w:rsidRPr="00273453">
        <w:rPr>
          <w:rFonts w:ascii="Times New Roman" w:hAnsi="Times New Roman"/>
          <w:i/>
          <w:sz w:val="24"/>
          <w:szCs w:val="24"/>
        </w:rPr>
        <w:t>Outcome measures</w:t>
      </w:r>
    </w:p>
    <w:p w:rsidR="0002101F" w:rsidRPr="00273453" w:rsidRDefault="0002101F" w:rsidP="0002101F">
      <w:pPr>
        <w:tabs>
          <w:tab w:val="left" w:pos="360"/>
        </w:tabs>
        <w:snapToGrid w:val="0"/>
        <w:spacing w:after="0" w:line="480" w:lineRule="auto"/>
        <w:outlineLvl w:val="0"/>
        <w:rPr>
          <w:rFonts w:ascii="Times New Roman" w:hAnsi="Times New Roman"/>
          <w:sz w:val="24"/>
          <w:szCs w:val="24"/>
          <w:u w:val="single"/>
        </w:rPr>
      </w:pPr>
      <w:r w:rsidRPr="00273453">
        <w:rPr>
          <w:rFonts w:ascii="Times New Roman" w:hAnsi="Times New Roman"/>
          <w:sz w:val="24"/>
          <w:szCs w:val="24"/>
          <w:u w:val="single"/>
        </w:rPr>
        <w:t>Functional and quality of life scales (primary outcomes)</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sz w:val="24"/>
          <w:szCs w:val="24"/>
          <w:lang w:eastAsia="it-IT"/>
        </w:rPr>
      </w:pPr>
      <w:r w:rsidRPr="00371EA1">
        <w:rPr>
          <w:rFonts w:ascii="Times New Roman" w:hAnsi="Times New Roman"/>
          <w:sz w:val="24"/>
          <w:szCs w:val="24"/>
          <w:lang w:eastAsia="it-IT"/>
        </w:rPr>
        <w:t>Activities of Daily Living scale (ADL): a measure of participant's skill level on six basic functional domains. We took into account the number of preserved items and summed them into a global score ranging from 0 (completely dependent) to 6 (completely autonomous).</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sz w:val="24"/>
          <w:szCs w:val="24"/>
          <w:lang w:eastAsia="it-IT"/>
        </w:rPr>
      </w:pPr>
      <w:r w:rsidRPr="00371EA1">
        <w:rPr>
          <w:rFonts w:ascii="Times New Roman" w:hAnsi="Times New Roman"/>
          <w:sz w:val="24"/>
          <w:szCs w:val="24"/>
          <w:lang w:eastAsia="it-IT"/>
        </w:rPr>
        <w:lastRenderedPageBreak/>
        <w:t>Instrumental Activities of Daily Living scale (IADL): a measure of participant's skill level on eight complex functional domains. We took into account the number of impaired items, and summed them into a global score ranging from 0 (completely autonomous) to 8 (completely dependent).</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sz w:val="24"/>
          <w:szCs w:val="24"/>
          <w:lang w:eastAsia="it-IT"/>
        </w:rPr>
      </w:pPr>
      <w:r w:rsidRPr="00371EA1">
        <w:rPr>
          <w:rFonts w:ascii="Times New Roman" w:hAnsi="Times New Roman"/>
          <w:sz w:val="24"/>
          <w:szCs w:val="24"/>
          <w:lang w:eastAsia="it-IT"/>
        </w:rPr>
        <w:t xml:space="preserve">Disability Assessment in Dementia scale: a measure of participant's skill level on several basic, instrumental and leisure activities. </w:t>
      </w:r>
      <w:r>
        <w:rPr>
          <w:rFonts w:ascii="Times New Roman" w:hAnsi="Times New Roman"/>
          <w:sz w:val="24"/>
          <w:szCs w:val="24"/>
          <w:lang w:eastAsia="it-IT"/>
        </w:rPr>
        <w:t xml:space="preserve">The </w:t>
      </w:r>
      <w:r w:rsidRPr="00371EA1">
        <w:rPr>
          <w:rFonts w:ascii="Times New Roman" w:hAnsi="Times New Roman"/>
          <w:sz w:val="24"/>
          <w:szCs w:val="24"/>
          <w:lang w:eastAsia="it-IT"/>
        </w:rPr>
        <w:t>Disability Assessment in Dementia scale includes 40 dichotomous items summed into a total score then converted into a percentage (higher scores represent less disability).</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sz w:val="24"/>
          <w:szCs w:val="24"/>
          <w:lang w:eastAsia="it-IT"/>
        </w:rPr>
      </w:pPr>
      <w:r w:rsidRPr="00371EA1">
        <w:rPr>
          <w:rFonts w:ascii="Times New Roman" w:hAnsi="Times New Roman"/>
          <w:sz w:val="24"/>
          <w:szCs w:val="24"/>
          <w:lang w:eastAsia="it-IT"/>
        </w:rPr>
        <w:t xml:space="preserve">Short Form Health Survey (SF-36): a 36-item self-reported survey of patients’ own general health and well-being. The SF-36 consists of eight basic health dimensions summarized in 2 higher-order summary scores (Physical Component Summary and Mental Component Summary). Summary scores are transformed into a 0-100 scale (lower scores represent more disability), and t scores are calculated using national norms. </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sz w:val="24"/>
          <w:szCs w:val="24"/>
          <w:lang w:eastAsia="it-IT"/>
        </w:rPr>
      </w:pPr>
      <w:proofErr w:type="spellStart"/>
      <w:r w:rsidRPr="00371EA1">
        <w:rPr>
          <w:rFonts w:ascii="Times New Roman" w:hAnsi="Times New Roman"/>
          <w:sz w:val="24"/>
          <w:szCs w:val="24"/>
          <w:lang w:eastAsia="it-IT"/>
        </w:rPr>
        <w:t>EuroQol</w:t>
      </w:r>
      <w:proofErr w:type="spellEnd"/>
      <w:r w:rsidRPr="00371EA1">
        <w:rPr>
          <w:rFonts w:ascii="Times New Roman" w:hAnsi="Times New Roman"/>
          <w:sz w:val="24"/>
          <w:szCs w:val="24"/>
          <w:lang w:eastAsia="it-IT"/>
        </w:rPr>
        <w:t>: a self-reported health-related quality of life measure composed of a descriptive section converted into a single summary index, and a visual analogue scale used as a quantitative measure ranging from 0 (worst imaginable health state) to 100 (best imaginable health state).</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sz w:val="24"/>
          <w:szCs w:val="24"/>
          <w:lang w:eastAsia="it-IT"/>
        </w:rPr>
      </w:pPr>
      <w:r w:rsidRPr="00371EA1">
        <w:rPr>
          <w:rFonts w:ascii="Times New Roman" w:hAnsi="Times New Roman"/>
          <w:sz w:val="24"/>
          <w:szCs w:val="24"/>
          <w:lang w:eastAsia="it-IT"/>
        </w:rPr>
        <w:t>Attention Questionnaire: a 12-item self-reported questionnaire specifically developed to rate the occurrence of different attention problems in everyday life. The Attention Questionnaire supplies a total score ranging from 0 (absence of attention problems) to 36 (highest presence of attention problems).</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sz w:val="24"/>
          <w:szCs w:val="24"/>
          <w:lang w:eastAsia="it-IT"/>
        </w:rPr>
      </w:pPr>
      <w:r w:rsidRPr="00371EA1">
        <w:rPr>
          <w:rFonts w:ascii="Times New Roman" w:hAnsi="Times New Roman"/>
          <w:sz w:val="24"/>
          <w:szCs w:val="24"/>
          <w:lang w:eastAsia="it-IT"/>
        </w:rPr>
        <w:t>Geriatric Depression Scale: is a 15-item </w:t>
      </w:r>
      <w:hyperlink r:id="rId6" w:tooltip="Self-report inventory" w:history="1">
        <w:r w:rsidRPr="00371EA1">
          <w:rPr>
            <w:rFonts w:ascii="Times New Roman" w:hAnsi="Times New Roman"/>
            <w:sz w:val="24"/>
            <w:szCs w:val="24"/>
            <w:lang w:eastAsia="it-IT"/>
          </w:rPr>
          <w:t>self-report</w:t>
        </w:r>
      </w:hyperlink>
      <w:proofErr w:type="gramStart"/>
      <w:r w:rsidRPr="00371EA1">
        <w:rPr>
          <w:rFonts w:ascii="Times New Roman" w:hAnsi="Times New Roman"/>
          <w:sz w:val="24"/>
          <w:szCs w:val="24"/>
          <w:lang w:eastAsia="it-IT"/>
        </w:rPr>
        <w:t>ed</w:t>
      </w:r>
      <w:proofErr w:type="gramEnd"/>
      <w:r w:rsidRPr="00371EA1">
        <w:rPr>
          <w:rFonts w:ascii="Times New Roman" w:hAnsi="Times New Roman"/>
          <w:sz w:val="24"/>
          <w:szCs w:val="24"/>
          <w:lang w:eastAsia="it-IT"/>
        </w:rPr>
        <w:t> questionnaire used to identify depressive symptoms in the elderly. The Geriatric Depression Scale supplies a total score ranging from 0 (absence of depressive symptoms) to 15 (severe depressive symptoms).</w:t>
      </w:r>
    </w:p>
    <w:p w:rsidR="0002101F" w:rsidRDefault="0002101F" w:rsidP="0002101F">
      <w:pPr>
        <w:tabs>
          <w:tab w:val="left" w:pos="360"/>
        </w:tabs>
        <w:snapToGrid w:val="0"/>
        <w:spacing w:after="0" w:line="480" w:lineRule="auto"/>
        <w:outlineLvl w:val="0"/>
        <w:rPr>
          <w:rFonts w:ascii="Times New Roman" w:hAnsi="Times New Roman"/>
          <w:b/>
          <w:i/>
          <w:sz w:val="24"/>
          <w:szCs w:val="24"/>
        </w:rPr>
      </w:pPr>
    </w:p>
    <w:p w:rsidR="0002101F" w:rsidRPr="00273453" w:rsidRDefault="0002101F" w:rsidP="0002101F">
      <w:pPr>
        <w:tabs>
          <w:tab w:val="left" w:pos="360"/>
        </w:tabs>
        <w:snapToGrid w:val="0"/>
        <w:spacing w:after="0" w:line="480" w:lineRule="auto"/>
        <w:outlineLvl w:val="0"/>
        <w:rPr>
          <w:rFonts w:ascii="Times New Roman" w:hAnsi="Times New Roman"/>
          <w:sz w:val="24"/>
          <w:szCs w:val="24"/>
          <w:u w:val="single"/>
        </w:rPr>
      </w:pPr>
      <w:r w:rsidRPr="00273453">
        <w:rPr>
          <w:rFonts w:ascii="Times New Roman" w:hAnsi="Times New Roman"/>
          <w:sz w:val="24"/>
          <w:szCs w:val="24"/>
          <w:u w:val="single"/>
        </w:rPr>
        <w:lastRenderedPageBreak/>
        <w:t>The VMCI-Tuscany neuropsychological battery (secondary cognitive outcomes)</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i/>
          <w:iCs/>
          <w:sz w:val="24"/>
          <w:szCs w:val="24"/>
        </w:rPr>
      </w:pPr>
      <w:r w:rsidRPr="00371EA1">
        <w:rPr>
          <w:rFonts w:ascii="Times New Roman" w:hAnsi="Times New Roman"/>
          <w:sz w:val="24"/>
          <w:szCs w:val="24"/>
          <w:lang w:eastAsia="it-IT"/>
        </w:rPr>
        <w:t>Global cognitive functioning: Montreal Cognitive Assessment test (</w:t>
      </w:r>
      <w:proofErr w:type="spellStart"/>
      <w:r w:rsidRPr="00371EA1">
        <w:rPr>
          <w:rFonts w:ascii="Times New Roman" w:hAnsi="Times New Roman"/>
          <w:sz w:val="24"/>
          <w:szCs w:val="24"/>
          <w:lang w:eastAsia="it-IT"/>
        </w:rPr>
        <w:t>MoCA</w:t>
      </w:r>
      <w:proofErr w:type="spellEnd"/>
      <w:r w:rsidRPr="00371EA1">
        <w:rPr>
          <w:rFonts w:ascii="Times New Roman" w:hAnsi="Times New Roman"/>
          <w:sz w:val="24"/>
          <w:szCs w:val="24"/>
          <w:lang w:eastAsia="it-IT"/>
        </w:rPr>
        <w:t>), and Mini Mental Status Examination test (MMSE).</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i/>
          <w:iCs/>
          <w:sz w:val="24"/>
          <w:szCs w:val="24"/>
        </w:rPr>
      </w:pPr>
      <w:r w:rsidRPr="00371EA1">
        <w:rPr>
          <w:rFonts w:ascii="Times New Roman" w:hAnsi="Times New Roman"/>
          <w:sz w:val="24"/>
          <w:szCs w:val="24"/>
          <w:lang w:eastAsia="it-IT"/>
        </w:rPr>
        <w:t>Memory: Rey Auditory-Verbal Learning Test (RAVL) immediate and recall, Short story, and Rey–</w:t>
      </w:r>
      <w:proofErr w:type="spellStart"/>
      <w:r w:rsidRPr="00371EA1">
        <w:rPr>
          <w:rFonts w:ascii="Times New Roman" w:hAnsi="Times New Roman"/>
          <w:sz w:val="24"/>
          <w:szCs w:val="24"/>
          <w:lang w:eastAsia="it-IT"/>
        </w:rPr>
        <w:t>Osterrieth</w:t>
      </w:r>
      <w:proofErr w:type="spellEnd"/>
      <w:r w:rsidRPr="00371EA1">
        <w:rPr>
          <w:rFonts w:ascii="Times New Roman" w:hAnsi="Times New Roman"/>
          <w:sz w:val="24"/>
          <w:szCs w:val="24"/>
          <w:lang w:eastAsia="it-IT"/>
        </w:rPr>
        <w:t xml:space="preserve"> Complex Figure (ROCF) recall.</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i/>
          <w:iCs/>
          <w:sz w:val="24"/>
          <w:szCs w:val="24"/>
        </w:rPr>
      </w:pPr>
      <w:r w:rsidRPr="00371EA1">
        <w:rPr>
          <w:rFonts w:ascii="Times New Roman" w:hAnsi="Times New Roman"/>
          <w:sz w:val="24"/>
          <w:szCs w:val="24"/>
          <w:lang w:eastAsia="it-IT"/>
        </w:rPr>
        <w:t xml:space="preserve">Attention and executive functions: Trail Making Test (TMT) part A and B, Visual search, Symbol Digit Modalities Test (SDMT), and Color Word </w:t>
      </w:r>
      <w:proofErr w:type="spellStart"/>
      <w:r w:rsidRPr="00371EA1">
        <w:rPr>
          <w:rFonts w:ascii="Times New Roman" w:hAnsi="Times New Roman"/>
          <w:sz w:val="24"/>
          <w:szCs w:val="24"/>
          <w:lang w:eastAsia="it-IT"/>
        </w:rPr>
        <w:t>Stroop</w:t>
      </w:r>
      <w:proofErr w:type="spellEnd"/>
      <w:r w:rsidRPr="00371EA1">
        <w:rPr>
          <w:rFonts w:ascii="Times New Roman" w:hAnsi="Times New Roman"/>
          <w:sz w:val="24"/>
          <w:szCs w:val="24"/>
          <w:lang w:eastAsia="it-IT"/>
        </w:rPr>
        <w:t xml:space="preserve"> Test.</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i/>
          <w:iCs/>
          <w:sz w:val="24"/>
          <w:szCs w:val="24"/>
        </w:rPr>
      </w:pPr>
      <w:r w:rsidRPr="00371EA1">
        <w:rPr>
          <w:rFonts w:ascii="Times New Roman" w:hAnsi="Times New Roman"/>
          <w:sz w:val="24"/>
          <w:szCs w:val="24"/>
          <w:lang w:eastAsia="it-IT"/>
        </w:rPr>
        <w:t>Language: phonemic and semantic verbal fluency.</w:t>
      </w:r>
    </w:p>
    <w:p w:rsidR="0002101F" w:rsidRPr="00371EA1" w:rsidRDefault="0002101F" w:rsidP="0002101F">
      <w:pPr>
        <w:numPr>
          <w:ilvl w:val="0"/>
          <w:numId w:val="1"/>
        </w:numPr>
        <w:tabs>
          <w:tab w:val="left" w:pos="360"/>
        </w:tabs>
        <w:spacing w:after="0" w:line="480" w:lineRule="auto"/>
        <w:ind w:left="0" w:firstLine="450"/>
        <w:rPr>
          <w:rFonts w:ascii="Times New Roman" w:hAnsi="Times New Roman"/>
          <w:i/>
          <w:iCs/>
          <w:sz w:val="24"/>
          <w:szCs w:val="24"/>
        </w:rPr>
      </w:pPr>
      <w:r w:rsidRPr="00371EA1">
        <w:rPr>
          <w:rFonts w:ascii="Times New Roman" w:hAnsi="Times New Roman"/>
          <w:sz w:val="24"/>
          <w:szCs w:val="24"/>
          <w:lang w:eastAsia="it-IT"/>
        </w:rPr>
        <w:t>Constructional praxis: Rey–</w:t>
      </w:r>
      <w:proofErr w:type="spellStart"/>
      <w:r w:rsidRPr="00371EA1">
        <w:rPr>
          <w:rFonts w:ascii="Times New Roman" w:hAnsi="Times New Roman"/>
          <w:sz w:val="24"/>
          <w:szCs w:val="24"/>
          <w:lang w:eastAsia="it-IT"/>
        </w:rPr>
        <w:t>Osterrieth</w:t>
      </w:r>
      <w:proofErr w:type="spellEnd"/>
      <w:r w:rsidRPr="00371EA1">
        <w:rPr>
          <w:rFonts w:ascii="Times New Roman" w:hAnsi="Times New Roman"/>
          <w:sz w:val="24"/>
          <w:szCs w:val="24"/>
          <w:lang w:eastAsia="it-IT"/>
        </w:rPr>
        <w:t xml:space="preserve"> Complex Figure (ROCF) immediate copy.</w:t>
      </w:r>
    </w:p>
    <w:p w:rsidR="0002101F" w:rsidRPr="00371EA1" w:rsidRDefault="0002101F" w:rsidP="0002101F">
      <w:pPr>
        <w:tabs>
          <w:tab w:val="left" w:pos="360"/>
        </w:tabs>
        <w:spacing w:after="0" w:line="480" w:lineRule="auto"/>
        <w:rPr>
          <w:rFonts w:ascii="Times New Roman" w:hAnsi="Times New Roman"/>
          <w:sz w:val="24"/>
          <w:szCs w:val="24"/>
          <w:lang w:eastAsia="it-IT"/>
        </w:rPr>
      </w:pPr>
      <w:r>
        <w:rPr>
          <w:rFonts w:ascii="Times New Roman" w:hAnsi="Times New Roman"/>
          <w:sz w:val="24"/>
          <w:szCs w:val="24"/>
          <w:lang w:eastAsia="it-IT"/>
        </w:rPr>
        <w:tab/>
      </w:r>
      <w:r w:rsidRPr="00371EA1">
        <w:rPr>
          <w:rFonts w:ascii="Times New Roman" w:hAnsi="Times New Roman"/>
          <w:sz w:val="24"/>
          <w:szCs w:val="24"/>
          <w:lang w:eastAsia="it-IT"/>
        </w:rPr>
        <w:t>Cognitive performance was evaluated based on the non-parametric equivalent score methodology for all the tests except for the Symbol Digit Modalities Test for which the national parametric norms were used because equivalent scores were not available.</w:t>
      </w:r>
    </w:p>
    <w:p w:rsidR="0002101F" w:rsidRPr="00371EA1" w:rsidRDefault="0002101F" w:rsidP="0002101F">
      <w:pPr>
        <w:tabs>
          <w:tab w:val="left" w:pos="360"/>
        </w:tabs>
        <w:autoSpaceDE w:val="0"/>
        <w:autoSpaceDN w:val="0"/>
        <w:adjustRightInd w:val="0"/>
        <w:spacing w:after="0" w:line="480" w:lineRule="auto"/>
        <w:rPr>
          <w:rFonts w:ascii="Times New Roman" w:hAnsi="Times New Roman"/>
          <w:i/>
          <w:iCs/>
          <w:sz w:val="24"/>
          <w:szCs w:val="24"/>
        </w:rPr>
      </w:pPr>
    </w:p>
    <w:p w:rsidR="0002101F" w:rsidRPr="00273453" w:rsidRDefault="0002101F" w:rsidP="0002101F">
      <w:pPr>
        <w:tabs>
          <w:tab w:val="left" w:pos="360"/>
        </w:tabs>
        <w:spacing w:after="0" w:line="480" w:lineRule="auto"/>
        <w:outlineLvl w:val="0"/>
        <w:rPr>
          <w:rFonts w:ascii="Times New Roman" w:hAnsi="Times New Roman"/>
          <w:i/>
          <w:iCs/>
          <w:sz w:val="24"/>
          <w:szCs w:val="24"/>
        </w:rPr>
      </w:pPr>
      <w:r w:rsidRPr="00273453">
        <w:rPr>
          <w:rFonts w:ascii="Times New Roman" w:hAnsi="Times New Roman"/>
          <w:i/>
          <w:iCs/>
          <w:sz w:val="24"/>
          <w:szCs w:val="24"/>
        </w:rPr>
        <w:t>MRI examination</w:t>
      </w:r>
    </w:p>
    <w:p w:rsidR="0002101F" w:rsidRDefault="0002101F" w:rsidP="0002101F">
      <w:pPr>
        <w:tabs>
          <w:tab w:val="left" w:pos="360"/>
        </w:tabs>
        <w:spacing w:after="0" w:line="480" w:lineRule="auto"/>
        <w:rPr>
          <w:rFonts w:ascii="Times New Roman" w:hAnsi="Times New Roman"/>
          <w:sz w:val="24"/>
          <w:szCs w:val="24"/>
        </w:rPr>
      </w:pPr>
      <w:r>
        <w:rPr>
          <w:rFonts w:ascii="Times New Roman" w:hAnsi="Times New Roman"/>
          <w:sz w:val="24"/>
          <w:szCs w:val="24"/>
        </w:rPr>
        <w:tab/>
      </w:r>
      <w:r w:rsidRPr="00371EA1">
        <w:rPr>
          <w:rFonts w:ascii="Times New Roman" w:hAnsi="Times New Roman"/>
          <w:sz w:val="24"/>
          <w:szCs w:val="24"/>
        </w:rPr>
        <w:t>All patients were examined on a clinical 1.5 T scanner (</w:t>
      </w:r>
      <w:proofErr w:type="spellStart"/>
      <w:r w:rsidRPr="00371EA1">
        <w:rPr>
          <w:rFonts w:ascii="Times New Roman" w:hAnsi="Times New Roman"/>
          <w:sz w:val="24"/>
          <w:szCs w:val="24"/>
        </w:rPr>
        <w:t>Aera</w:t>
      </w:r>
      <w:proofErr w:type="spellEnd"/>
      <w:r w:rsidRPr="00371EA1">
        <w:rPr>
          <w:rFonts w:ascii="Times New Roman" w:hAnsi="Times New Roman"/>
          <w:sz w:val="24"/>
          <w:szCs w:val="24"/>
        </w:rPr>
        <w:t xml:space="preserve">, Siemens Medical Solutions, Erlangen, Germany) with 46 </w:t>
      </w:r>
      <w:proofErr w:type="spellStart"/>
      <w:r w:rsidRPr="00371EA1">
        <w:rPr>
          <w:rFonts w:ascii="Times New Roman" w:hAnsi="Times New Roman"/>
          <w:sz w:val="24"/>
          <w:szCs w:val="24"/>
        </w:rPr>
        <w:t>mT</w:t>
      </w:r>
      <w:proofErr w:type="spellEnd"/>
      <w:r w:rsidRPr="00371EA1">
        <w:rPr>
          <w:rFonts w:ascii="Times New Roman" w:hAnsi="Times New Roman"/>
          <w:sz w:val="24"/>
          <w:szCs w:val="24"/>
        </w:rPr>
        <w:t xml:space="preserve">/m maximum gradients strength, 200 </w:t>
      </w:r>
      <w:proofErr w:type="spellStart"/>
      <w:r w:rsidRPr="00371EA1">
        <w:rPr>
          <w:rFonts w:ascii="Times New Roman" w:hAnsi="Times New Roman"/>
          <w:sz w:val="24"/>
          <w:szCs w:val="24"/>
        </w:rPr>
        <w:t>mT</w:t>
      </w:r>
      <w:proofErr w:type="spellEnd"/>
      <w:r w:rsidRPr="00371EA1">
        <w:rPr>
          <w:rFonts w:ascii="Times New Roman" w:hAnsi="Times New Roman"/>
          <w:sz w:val="24"/>
          <w:szCs w:val="24"/>
        </w:rPr>
        <w:t>/m/</w:t>
      </w:r>
      <w:proofErr w:type="spellStart"/>
      <w:r w:rsidRPr="00371EA1">
        <w:rPr>
          <w:rFonts w:ascii="Times New Roman" w:hAnsi="Times New Roman"/>
          <w:sz w:val="24"/>
          <w:szCs w:val="24"/>
        </w:rPr>
        <w:t>ms</w:t>
      </w:r>
      <w:proofErr w:type="spellEnd"/>
      <w:r w:rsidRPr="00371EA1">
        <w:rPr>
          <w:rFonts w:ascii="Times New Roman" w:hAnsi="Times New Roman"/>
          <w:sz w:val="24"/>
          <w:szCs w:val="24"/>
        </w:rPr>
        <w:t xml:space="preserve"> slew-rate and 20-channel radiofrequency head and neck coil. After scouts, the examination protocol included high-resolution sagittal contiguous 3D T1-weighted images with 1-mm isotropic voxels which were obtained with a Turbo Spin Echo SPACE (Sampling </w:t>
      </w:r>
      <w:proofErr w:type="spellStart"/>
      <w:r w:rsidRPr="00371EA1">
        <w:rPr>
          <w:rFonts w:ascii="Times New Roman" w:hAnsi="Times New Roman"/>
          <w:sz w:val="24"/>
          <w:szCs w:val="24"/>
        </w:rPr>
        <w:t>PErfection</w:t>
      </w:r>
      <w:proofErr w:type="spellEnd"/>
      <w:r w:rsidRPr="00371EA1">
        <w:rPr>
          <w:rFonts w:ascii="Times New Roman" w:hAnsi="Times New Roman"/>
          <w:sz w:val="24"/>
          <w:szCs w:val="24"/>
        </w:rPr>
        <w:t xml:space="preserve"> with Application optimized Contrasts using different flip angle Evolution) sequence [repetition time (TR)=600 </w:t>
      </w:r>
      <w:proofErr w:type="spellStart"/>
      <w:r w:rsidRPr="00371EA1">
        <w:rPr>
          <w:rFonts w:ascii="Times New Roman" w:hAnsi="Times New Roman"/>
          <w:sz w:val="24"/>
          <w:szCs w:val="24"/>
        </w:rPr>
        <w:t>ms</w:t>
      </w:r>
      <w:proofErr w:type="spellEnd"/>
      <w:r w:rsidRPr="00371EA1">
        <w:rPr>
          <w:rFonts w:ascii="Times New Roman" w:hAnsi="Times New Roman"/>
          <w:sz w:val="24"/>
          <w:szCs w:val="24"/>
        </w:rPr>
        <w:t xml:space="preserve">, echo time (TE)=7 </w:t>
      </w:r>
      <w:proofErr w:type="spellStart"/>
      <w:r w:rsidRPr="00371EA1">
        <w:rPr>
          <w:rFonts w:ascii="Times New Roman" w:hAnsi="Times New Roman"/>
          <w:sz w:val="24"/>
          <w:szCs w:val="24"/>
        </w:rPr>
        <w:t>ms</w:t>
      </w:r>
      <w:proofErr w:type="spellEnd"/>
      <w:r w:rsidRPr="00371EA1">
        <w:rPr>
          <w:rFonts w:ascii="Times New Roman" w:hAnsi="Times New Roman"/>
          <w:sz w:val="24"/>
          <w:szCs w:val="24"/>
        </w:rPr>
        <w:t xml:space="preserve">, slice thickness=1 mm, no inter-slice gap, field of view (FOV)=232 mm (phase) × 256 mm (frequency), acquisition matrix=232×256, turbo factor=36, number of excitations (NEX)=1, GRAPPA acceleration factor = 2, number of slices = 176]. The </w:t>
      </w:r>
      <w:proofErr w:type="spellStart"/>
      <w:r w:rsidRPr="00371EA1">
        <w:rPr>
          <w:rFonts w:ascii="Times New Roman" w:hAnsi="Times New Roman"/>
          <w:sz w:val="24"/>
          <w:szCs w:val="24"/>
        </w:rPr>
        <w:t>rsfMRI</w:t>
      </w:r>
      <w:proofErr w:type="spellEnd"/>
      <w:r w:rsidRPr="00371EA1">
        <w:rPr>
          <w:rFonts w:ascii="Times New Roman" w:hAnsi="Times New Roman"/>
          <w:sz w:val="24"/>
          <w:szCs w:val="24"/>
        </w:rPr>
        <w:t xml:space="preserve"> data were obtained using a T2*-sensitive EPI sequence (TR=2.520 s, TE=50 </w:t>
      </w:r>
      <w:proofErr w:type="spellStart"/>
      <w:r w:rsidRPr="00371EA1">
        <w:rPr>
          <w:rFonts w:ascii="Times New Roman" w:hAnsi="Times New Roman"/>
          <w:sz w:val="24"/>
          <w:szCs w:val="24"/>
        </w:rPr>
        <w:t>ms</w:t>
      </w:r>
      <w:proofErr w:type="spellEnd"/>
      <w:r w:rsidRPr="00371EA1">
        <w:rPr>
          <w:rFonts w:ascii="Times New Roman" w:hAnsi="Times New Roman"/>
          <w:sz w:val="24"/>
          <w:szCs w:val="24"/>
        </w:rPr>
        <w:t xml:space="preserve">, flip angle=90°, field of view=256 mm × 256 mm, acquisition matrix=64 × 64, </w:t>
      </w:r>
      <w:r w:rsidRPr="00371EA1">
        <w:rPr>
          <w:rFonts w:ascii="Times New Roman" w:hAnsi="Times New Roman"/>
          <w:sz w:val="24"/>
          <w:szCs w:val="24"/>
        </w:rPr>
        <w:lastRenderedPageBreak/>
        <w:t xml:space="preserve">GRAPPA acceleration factor=2, no inter-slice gap, number of slices=32). Two hundred and fifty volumes were acquired for a total acquisition time of 10.5 min. During </w:t>
      </w:r>
      <w:proofErr w:type="spellStart"/>
      <w:r w:rsidRPr="00371EA1">
        <w:rPr>
          <w:rFonts w:ascii="Times New Roman" w:hAnsi="Times New Roman"/>
          <w:sz w:val="24"/>
          <w:szCs w:val="24"/>
        </w:rPr>
        <w:t>rsfMRI</w:t>
      </w:r>
      <w:proofErr w:type="spellEnd"/>
      <w:r w:rsidRPr="00371EA1">
        <w:rPr>
          <w:rFonts w:ascii="Times New Roman" w:hAnsi="Times New Roman"/>
          <w:sz w:val="24"/>
          <w:szCs w:val="24"/>
        </w:rPr>
        <w:t xml:space="preserve"> acquisition, the subjects were instructed to lie still with their eyes closed </w:t>
      </w:r>
      <w:r w:rsidRPr="00371EA1">
        <w:rPr>
          <w:rFonts w:ascii="Times New Roman" w:hAnsi="Times New Roman"/>
          <w:sz w:val="24"/>
          <w:szCs w:val="24"/>
          <w:lang w:eastAsia="it-IT"/>
        </w:rPr>
        <w:t xml:space="preserve">and not to think of anything in particular. </w:t>
      </w:r>
      <w:r w:rsidRPr="00371EA1">
        <w:rPr>
          <w:rFonts w:ascii="Times New Roman" w:hAnsi="Times New Roman"/>
          <w:sz w:val="24"/>
          <w:szCs w:val="24"/>
        </w:rPr>
        <w:t xml:space="preserve">Cushions were used to minimize head motion during the scan. </w:t>
      </w:r>
    </w:p>
    <w:p w:rsidR="0002101F" w:rsidRPr="00371EA1" w:rsidRDefault="0002101F" w:rsidP="0002101F">
      <w:pPr>
        <w:tabs>
          <w:tab w:val="left" w:pos="360"/>
        </w:tabs>
        <w:spacing w:after="0" w:line="480" w:lineRule="auto"/>
        <w:rPr>
          <w:rFonts w:ascii="Times New Roman" w:hAnsi="Times New Roman"/>
          <w:sz w:val="24"/>
          <w:szCs w:val="24"/>
        </w:rPr>
      </w:pPr>
    </w:p>
    <w:p w:rsidR="0002101F" w:rsidRPr="00273453" w:rsidRDefault="0002101F" w:rsidP="0002101F">
      <w:pPr>
        <w:tabs>
          <w:tab w:val="left" w:pos="360"/>
        </w:tabs>
        <w:autoSpaceDE w:val="0"/>
        <w:autoSpaceDN w:val="0"/>
        <w:adjustRightInd w:val="0"/>
        <w:spacing w:after="0" w:line="480" w:lineRule="auto"/>
        <w:outlineLvl w:val="0"/>
        <w:rPr>
          <w:rFonts w:ascii="Times New Roman" w:hAnsi="Times New Roman"/>
          <w:i/>
          <w:iCs/>
          <w:sz w:val="24"/>
          <w:szCs w:val="24"/>
        </w:rPr>
      </w:pPr>
      <w:proofErr w:type="spellStart"/>
      <w:r w:rsidRPr="00273453">
        <w:rPr>
          <w:rFonts w:ascii="Times New Roman" w:hAnsi="Times New Roman"/>
          <w:i/>
          <w:iCs/>
          <w:sz w:val="24"/>
          <w:szCs w:val="24"/>
        </w:rPr>
        <w:t>RsfMRI</w:t>
      </w:r>
      <w:proofErr w:type="spellEnd"/>
      <w:r w:rsidRPr="00273453">
        <w:rPr>
          <w:rFonts w:ascii="Times New Roman" w:hAnsi="Times New Roman"/>
          <w:i/>
          <w:iCs/>
          <w:sz w:val="24"/>
          <w:szCs w:val="24"/>
        </w:rPr>
        <w:t xml:space="preserve"> pre-processing</w:t>
      </w:r>
    </w:p>
    <w:p w:rsidR="0002101F" w:rsidRDefault="0002101F" w:rsidP="0002101F">
      <w:pPr>
        <w:tabs>
          <w:tab w:val="left" w:pos="360"/>
        </w:tabs>
        <w:autoSpaceDE w:val="0"/>
        <w:autoSpaceDN w:val="0"/>
        <w:adjustRightInd w:val="0"/>
        <w:spacing w:after="0" w:line="480" w:lineRule="auto"/>
        <w:rPr>
          <w:rFonts w:ascii="Times New Roman" w:hAnsi="Times New Roman"/>
          <w:sz w:val="24"/>
          <w:szCs w:val="24"/>
        </w:rPr>
      </w:pPr>
      <w:r>
        <w:rPr>
          <w:rFonts w:ascii="Times New Roman" w:hAnsi="Times New Roman"/>
          <w:iCs/>
          <w:sz w:val="24"/>
          <w:szCs w:val="24"/>
        </w:rPr>
        <w:tab/>
      </w:r>
      <w:proofErr w:type="spellStart"/>
      <w:r w:rsidRPr="00371EA1">
        <w:rPr>
          <w:rFonts w:ascii="Times New Roman" w:hAnsi="Times New Roman"/>
          <w:iCs/>
          <w:sz w:val="24"/>
          <w:szCs w:val="24"/>
        </w:rPr>
        <w:t>RsfMRI</w:t>
      </w:r>
      <w:proofErr w:type="spellEnd"/>
      <w:r w:rsidRPr="00371EA1">
        <w:rPr>
          <w:rFonts w:ascii="Times New Roman" w:hAnsi="Times New Roman"/>
          <w:i/>
          <w:iCs/>
          <w:sz w:val="24"/>
          <w:szCs w:val="24"/>
        </w:rPr>
        <w:t xml:space="preserve"> </w:t>
      </w:r>
      <w:r w:rsidRPr="00371EA1">
        <w:rPr>
          <w:rFonts w:ascii="Times New Roman" w:hAnsi="Times New Roman"/>
          <w:sz w:val="24"/>
          <w:szCs w:val="24"/>
        </w:rPr>
        <w:t xml:space="preserve">data pre-processing was carried-out using FSL (FMRIB's Software Library, </w:t>
      </w:r>
      <w:r>
        <w:rPr>
          <w:rFonts w:ascii="Times New Roman" w:hAnsi="Times New Roman"/>
          <w:sz w:val="24"/>
          <w:szCs w:val="24"/>
        </w:rPr>
        <w:t>http://</w:t>
      </w:r>
      <w:r w:rsidRPr="00273453">
        <w:rPr>
          <w:rFonts w:ascii="Times New Roman" w:hAnsi="Times New Roman"/>
          <w:sz w:val="24"/>
          <w:szCs w:val="24"/>
        </w:rPr>
        <w:t>www.fmrib.ox.ac.uk/fsl</w:t>
      </w:r>
      <w:r w:rsidRPr="00371EA1">
        <w:rPr>
          <w:rFonts w:ascii="Times New Roman" w:hAnsi="Times New Roman"/>
          <w:sz w:val="24"/>
          <w:szCs w:val="24"/>
        </w:rPr>
        <w:t xml:space="preserve">). The following pre-statistics processing was applied: removal of the first 5 volumes of each scan to avoid T1-related relaxation effects; motion correction using MCFLIRT (Motion Correction FMRIB's Linear Image Registration Tool) [1]; slice-timing correction using Fourier-space time-series phase-shifting; grand-mean intensity normalization of the entire 4D dataset by a single multiplicative factor; low-pass filtering at 0.08 Hz of the time series of </w:t>
      </w:r>
      <w:proofErr w:type="spellStart"/>
      <w:r w:rsidRPr="00371EA1">
        <w:rPr>
          <w:rFonts w:ascii="Times New Roman" w:hAnsi="Times New Roman"/>
          <w:sz w:val="24"/>
          <w:szCs w:val="24"/>
        </w:rPr>
        <w:t>rsfMRI</w:t>
      </w:r>
      <w:proofErr w:type="spellEnd"/>
      <w:r w:rsidRPr="00371EA1">
        <w:rPr>
          <w:rFonts w:ascii="Times New Roman" w:hAnsi="Times New Roman"/>
          <w:sz w:val="24"/>
          <w:szCs w:val="24"/>
        </w:rPr>
        <w:t xml:space="preserve"> data of each voxel [2]. To control for motion artifacts the mean (across voxels) voxel absolute displacement (each time point with respect to the reference image, i.e. to the middle-time point </w:t>
      </w:r>
      <w:proofErr w:type="spellStart"/>
      <w:r w:rsidRPr="00371EA1">
        <w:rPr>
          <w:rFonts w:ascii="Times New Roman" w:hAnsi="Times New Roman"/>
          <w:sz w:val="24"/>
          <w:szCs w:val="24"/>
        </w:rPr>
        <w:t>rsfMRI</w:t>
      </w:r>
      <w:proofErr w:type="spellEnd"/>
      <w:r w:rsidRPr="00371EA1">
        <w:rPr>
          <w:rFonts w:ascii="Times New Roman" w:hAnsi="Times New Roman"/>
          <w:sz w:val="24"/>
          <w:szCs w:val="24"/>
        </w:rPr>
        <w:t xml:space="preserve"> image) was calculated by MCFLIRT in each patient. Two patients had one of the two (baseline or follow-up) </w:t>
      </w:r>
      <w:proofErr w:type="spellStart"/>
      <w:r w:rsidRPr="00371EA1">
        <w:rPr>
          <w:rFonts w:ascii="Times New Roman" w:hAnsi="Times New Roman"/>
          <w:sz w:val="24"/>
          <w:szCs w:val="24"/>
        </w:rPr>
        <w:t>rsfMRI</w:t>
      </w:r>
      <w:proofErr w:type="spellEnd"/>
      <w:r w:rsidRPr="00371EA1">
        <w:rPr>
          <w:rFonts w:ascii="Times New Roman" w:hAnsi="Times New Roman"/>
          <w:sz w:val="24"/>
          <w:szCs w:val="24"/>
        </w:rPr>
        <w:t xml:space="preserve"> examinations with mean voxel absolute displacement greater than 2 mm and were thus excluded.</w:t>
      </w:r>
    </w:p>
    <w:p w:rsidR="0002101F" w:rsidRPr="00371EA1" w:rsidRDefault="0002101F" w:rsidP="0002101F">
      <w:pPr>
        <w:tabs>
          <w:tab w:val="left" w:pos="360"/>
        </w:tabs>
        <w:autoSpaceDE w:val="0"/>
        <w:autoSpaceDN w:val="0"/>
        <w:adjustRightInd w:val="0"/>
        <w:spacing w:after="0" w:line="480" w:lineRule="auto"/>
        <w:rPr>
          <w:rFonts w:ascii="Times New Roman" w:hAnsi="Times New Roman"/>
          <w:sz w:val="24"/>
          <w:szCs w:val="24"/>
        </w:rPr>
      </w:pPr>
    </w:p>
    <w:p w:rsidR="0002101F" w:rsidRPr="00273453" w:rsidRDefault="0002101F" w:rsidP="0002101F">
      <w:pPr>
        <w:tabs>
          <w:tab w:val="left" w:pos="360"/>
        </w:tabs>
        <w:autoSpaceDE w:val="0"/>
        <w:autoSpaceDN w:val="0"/>
        <w:adjustRightInd w:val="0"/>
        <w:spacing w:after="0" w:line="480" w:lineRule="auto"/>
        <w:outlineLvl w:val="0"/>
        <w:rPr>
          <w:rFonts w:ascii="Times New Roman" w:hAnsi="Times New Roman"/>
          <w:i/>
          <w:iCs/>
          <w:sz w:val="24"/>
          <w:szCs w:val="24"/>
        </w:rPr>
      </w:pPr>
      <w:r w:rsidRPr="00273453">
        <w:rPr>
          <w:rFonts w:ascii="Times New Roman" w:hAnsi="Times New Roman"/>
          <w:i/>
          <w:iCs/>
          <w:sz w:val="24"/>
          <w:szCs w:val="24"/>
        </w:rPr>
        <w:t xml:space="preserve">Computation of </w:t>
      </w:r>
      <w:proofErr w:type="spellStart"/>
      <w:r w:rsidRPr="00273453">
        <w:rPr>
          <w:rFonts w:ascii="Times New Roman" w:hAnsi="Times New Roman"/>
          <w:i/>
          <w:iCs/>
          <w:sz w:val="24"/>
          <w:szCs w:val="24"/>
        </w:rPr>
        <w:t>ReHo</w:t>
      </w:r>
      <w:proofErr w:type="spellEnd"/>
      <w:r w:rsidRPr="00273453">
        <w:rPr>
          <w:rFonts w:ascii="Times New Roman" w:hAnsi="Times New Roman"/>
          <w:i/>
          <w:iCs/>
          <w:sz w:val="24"/>
          <w:szCs w:val="24"/>
        </w:rPr>
        <w:t xml:space="preserve"> maps</w:t>
      </w:r>
    </w:p>
    <w:p w:rsidR="0002101F" w:rsidRPr="00371EA1" w:rsidRDefault="0002101F" w:rsidP="0002101F">
      <w:pPr>
        <w:tabs>
          <w:tab w:val="left" w:pos="360"/>
        </w:tabs>
        <w:spacing w:after="0" w:line="480" w:lineRule="auto"/>
        <w:rPr>
          <w:rFonts w:ascii="Times New Roman" w:hAnsi="Times New Roman"/>
          <w:sz w:val="24"/>
          <w:szCs w:val="24"/>
        </w:rPr>
      </w:pPr>
      <w:r>
        <w:rPr>
          <w:rFonts w:ascii="Times New Roman" w:hAnsi="Times New Roman"/>
          <w:sz w:val="24"/>
          <w:szCs w:val="24"/>
        </w:rPr>
        <w:tab/>
      </w:r>
      <w:r w:rsidRPr="00371EA1">
        <w:rPr>
          <w:rFonts w:ascii="Times New Roman" w:hAnsi="Times New Roman"/>
          <w:sz w:val="24"/>
          <w:szCs w:val="24"/>
        </w:rPr>
        <w:t xml:space="preserve">Co-registration of the reference </w:t>
      </w:r>
      <w:proofErr w:type="spellStart"/>
      <w:r w:rsidRPr="00371EA1">
        <w:rPr>
          <w:rFonts w:ascii="Times New Roman" w:hAnsi="Times New Roman"/>
          <w:sz w:val="24"/>
          <w:szCs w:val="24"/>
        </w:rPr>
        <w:t>rsfMRI</w:t>
      </w:r>
      <w:proofErr w:type="spellEnd"/>
      <w:r w:rsidRPr="00371EA1">
        <w:rPr>
          <w:rFonts w:ascii="Times New Roman" w:hAnsi="Times New Roman"/>
          <w:sz w:val="24"/>
          <w:szCs w:val="24"/>
        </w:rPr>
        <w:t xml:space="preserve"> images to the individual high resolution T1-weighted image was carried out using affine registration implemented in the ANTs package </w:t>
      </w:r>
      <w:r w:rsidRPr="00371EA1">
        <w:rPr>
          <w:rFonts w:ascii="Times New Roman" w:hAnsi="Times New Roman"/>
          <w:sz w:val="24"/>
          <w:szCs w:val="24"/>
          <w:lang w:eastAsia="it-IT"/>
        </w:rPr>
        <w:t>[3]</w:t>
      </w:r>
      <w:r w:rsidRPr="00371EA1">
        <w:rPr>
          <w:rFonts w:ascii="Times New Roman" w:hAnsi="Times New Roman"/>
          <w:sz w:val="24"/>
          <w:szCs w:val="24"/>
        </w:rPr>
        <w:t xml:space="preserve">. The individual high-resolution T1-weighted images were co-registered to the standard-space Montreal Neurological Institute (MNI) 152 </w:t>
      </w:r>
      <w:proofErr w:type="gramStart"/>
      <w:r w:rsidRPr="00371EA1">
        <w:rPr>
          <w:rFonts w:ascii="Times New Roman" w:hAnsi="Times New Roman"/>
          <w:sz w:val="24"/>
          <w:szCs w:val="24"/>
        </w:rPr>
        <w:t>brain</w:t>
      </w:r>
      <w:proofErr w:type="gramEnd"/>
      <w:r w:rsidRPr="00371EA1">
        <w:rPr>
          <w:rFonts w:ascii="Times New Roman" w:hAnsi="Times New Roman"/>
          <w:sz w:val="24"/>
          <w:szCs w:val="24"/>
        </w:rPr>
        <w:t xml:space="preserve"> using an affine followed by a non-linear transformation using the ANTs package </w:t>
      </w:r>
      <w:r w:rsidRPr="00371EA1">
        <w:rPr>
          <w:rFonts w:ascii="Times New Roman" w:hAnsi="Times New Roman"/>
          <w:sz w:val="24"/>
          <w:szCs w:val="24"/>
          <w:lang w:eastAsia="it-IT"/>
        </w:rPr>
        <w:t>[3]</w:t>
      </w:r>
      <w:r w:rsidRPr="00371EA1">
        <w:rPr>
          <w:rFonts w:ascii="Times New Roman" w:hAnsi="Times New Roman"/>
          <w:sz w:val="24"/>
          <w:szCs w:val="24"/>
        </w:rPr>
        <w:t>. Regional homogeneity (</w:t>
      </w:r>
      <w:proofErr w:type="spellStart"/>
      <w:r w:rsidRPr="00371EA1">
        <w:rPr>
          <w:rFonts w:ascii="Times New Roman" w:hAnsi="Times New Roman"/>
          <w:sz w:val="24"/>
          <w:szCs w:val="24"/>
        </w:rPr>
        <w:t>ReHo</w:t>
      </w:r>
      <w:proofErr w:type="spellEnd"/>
      <w:r w:rsidRPr="00371EA1">
        <w:rPr>
          <w:rFonts w:ascii="Times New Roman" w:hAnsi="Times New Roman"/>
          <w:sz w:val="24"/>
          <w:szCs w:val="24"/>
        </w:rPr>
        <w:t xml:space="preserve">) was calculated in the native </w:t>
      </w:r>
      <w:proofErr w:type="spellStart"/>
      <w:r w:rsidRPr="00371EA1">
        <w:rPr>
          <w:rFonts w:ascii="Times New Roman" w:hAnsi="Times New Roman"/>
          <w:sz w:val="24"/>
          <w:szCs w:val="24"/>
        </w:rPr>
        <w:t>rsfMRI</w:t>
      </w:r>
      <w:proofErr w:type="spellEnd"/>
      <w:r w:rsidRPr="00371EA1">
        <w:rPr>
          <w:rFonts w:ascii="Times New Roman" w:hAnsi="Times New Roman"/>
          <w:sz w:val="24"/>
          <w:szCs w:val="24"/>
        </w:rPr>
        <w:t xml:space="preserve"> space using the Data Processing Assistant for Resting-State </w:t>
      </w:r>
      <w:r w:rsidRPr="00371EA1">
        <w:rPr>
          <w:rFonts w:ascii="Times New Roman" w:hAnsi="Times New Roman"/>
          <w:sz w:val="24"/>
          <w:szCs w:val="24"/>
        </w:rPr>
        <w:lastRenderedPageBreak/>
        <w:t xml:space="preserve">fMRI (http://rfmri.org/DPARSF) </w:t>
      </w:r>
      <w:r w:rsidRPr="00371EA1">
        <w:rPr>
          <w:rFonts w:ascii="Times New Roman" w:hAnsi="Times New Roman"/>
          <w:sz w:val="24"/>
          <w:szCs w:val="24"/>
          <w:lang w:eastAsia="it-IT"/>
        </w:rPr>
        <w:t>[4]</w:t>
      </w:r>
      <w:r w:rsidRPr="00371EA1">
        <w:rPr>
          <w:rFonts w:ascii="Times New Roman" w:hAnsi="Times New Roman"/>
          <w:sz w:val="24"/>
          <w:szCs w:val="24"/>
        </w:rPr>
        <w:t xml:space="preserve">. </w:t>
      </w:r>
      <w:proofErr w:type="spellStart"/>
      <w:r w:rsidRPr="00371EA1">
        <w:rPr>
          <w:rFonts w:ascii="Times New Roman" w:hAnsi="Times New Roman"/>
          <w:sz w:val="24"/>
          <w:szCs w:val="24"/>
        </w:rPr>
        <w:t>ReHo</w:t>
      </w:r>
      <w:proofErr w:type="spellEnd"/>
      <w:r w:rsidRPr="00371EA1">
        <w:rPr>
          <w:rFonts w:ascii="Times New Roman" w:hAnsi="Times New Roman"/>
          <w:sz w:val="24"/>
          <w:szCs w:val="24"/>
        </w:rPr>
        <w:t xml:space="preserve"> maps were computed using the Kendall coefficient of concordance </w:t>
      </w:r>
      <w:r w:rsidRPr="00371EA1">
        <w:rPr>
          <w:rFonts w:ascii="Times New Roman" w:hAnsi="Times New Roman"/>
          <w:sz w:val="24"/>
          <w:szCs w:val="24"/>
          <w:lang w:eastAsia="it-IT"/>
        </w:rPr>
        <w:t>[5]</w:t>
      </w:r>
      <w:r w:rsidRPr="00371EA1">
        <w:rPr>
          <w:rFonts w:ascii="Times New Roman" w:hAnsi="Times New Roman"/>
          <w:sz w:val="24"/>
          <w:szCs w:val="24"/>
        </w:rPr>
        <w:t xml:space="preserve"> within a 27-voxel cubic neighborhood. For a given voxel, a high </w:t>
      </w:r>
      <w:proofErr w:type="spellStart"/>
      <w:r w:rsidRPr="00371EA1">
        <w:rPr>
          <w:rFonts w:ascii="Times New Roman" w:hAnsi="Times New Roman"/>
          <w:sz w:val="24"/>
          <w:szCs w:val="24"/>
        </w:rPr>
        <w:t>ReHo</w:t>
      </w:r>
      <w:proofErr w:type="spellEnd"/>
      <w:r w:rsidRPr="00371EA1">
        <w:rPr>
          <w:rFonts w:ascii="Times New Roman" w:hAnsi="Times New Roman"/>
          <w:sz w:val="24"/>
          <w:szCs w:val="24"/>
        </w:rPr>
        <w:t xml:space="preserve"> value implies that, within the 27-voxel neighborhood, resting-state time series have high synchronization with each other. For each patient, a brain mask was also obtained from the reference </w:t>
      </w:r>
      <w:proofErr w:type="spellStart"/>
      <w:r w:rsidRPr="00371EA1">
        <w:rPr>
          <w:rFonts w:ascii="Times New Roman" w:hAnsi="Times New Roman"/>
          <w:sz w:val="24"/>
          <w:szCs w:val="24"/>
        </w:rPr>
        <w:t>rsfMRI</w:t>
      </w:r>
      <w:proofErr w:type="spellEnd"/>
      <w:r w:rsidRPr="00371EA1">
        <w:rPr>
          <w:rFonts w:ascii="Times New Roman" w:hAnsi="Times New Roman"/>
          <w:sz w:val="24"/>
          <w:szCs w:val="24"/>
        </w:rPr>
        <w:t xml:space="preserve"> image using the brain extraction tool (BET), part of FSL (FMRIB’s Software Library). Each individual </w:t>
      </w:r>
      <w:proofErr w:type="spellStart"/>
      <w:r w:rsidRPr="00371EA1">
        <w:rPr>
          <w:rFonts w:ascii="Times New Roman" w:hAnsi="Times New Roman"/>
          <w:sz w:val="24"/>
          <w:szCs w:val="24"/>
        </w:rPr>
        <w:t>ReHo</w:t>
      </w:r>
      <w:proofErr w:type="spellEnd"/>
      <w:r w:rsidRPr="00371EA1">
        <w:rPr>
          <w:rFonts w:ascii="Times New Roman" w:hAnsi="Times New Roman"/>
          <w:sz w:val="24"/>
          <w:szCs w:val="24"/>
        </w:rPr>
        <w:t xml:space="preserve"> map was transformed into a standard Z-value map by subtracting the global mean and dividing by the standard deviation within the brain mask, and normalized to the MNI standard space using the transformation previously computed when co-registering </w:t>
      </w:r>
      <w:proofErr w:type="spellStart"/>
      <w:r w:rsidRPr="00371EA1">
        <w:rPr>
          <w:rFonts w:ascii="Times New Roman" w:hAnsi="Times New Roman"/>
          <w:sz w:val="24"/>
          <w:szCs w:val="24"/>
        </w:rPr>
        <w:t>rsfMRI</w:t>
      </w:r>
      <w:proofErr w:type="spellEnd"/>
      <w:r w:rsidRPr="00371EA1">
        <w:rPr>
          <w:rFonts w:ascii="Times New Roman" w:hAnsi="Times New Roman"/>
          <w:sz w:val="24"/>
          <w:szCs w:val="24"/>
        </w:rPr>
        <w:t xml:space="preserve"> images to the MNI standard space.</w:t>
      </w:r>
    </w:p>
    <w:p w:rsidR="0002101F" w:rsidRPr="00371EA1" w:rsidRDefault="0002101F" w:rsidP="0002101F">
      <w:pPr>
        <w:tabs>
          <w:tab w:val="left" w:pos="360"/>
        </w:tabs>
        <w:autoSpaceDE w:val="0"/>
        <w:autoSpaceDN w:val="0"/>
        <w:adjustRightInd w:val="0"/>
        <w:spacing w:after="0" w:line="480" w:lineRule="auto"/>
        <w:rPr>
          <w:rFonts w:ascii="Times New Roman" w:hAnsi="Times New Roman"/>
          <w:b/>
          <w:iCs/>
          <w:sz w:val="24"/>
          <w:szCs w:val="24"/>
        </w:rPr>
      </w:pPr>
    </w:p>
    <w:p w:rsidR="0002101F" w:rsidRPr="00273453" w:rsidRDefault="0002101F" w:rsidP="0002101F">
      <w:pPr>
        <w:tabs>
          <w:tab w:val="left" w:pos="360"/>
        </w:tabs>
        <w:autoSpaceDE w:val="0"/>
        <w:autoSpaceDN w:val="0"/>
        <w:adjustRightInd w:val="0"/>
        <w:spacing w:after="0" w:line="480" w:lineRule="auto"/>
        <w:outlineLvl w:val="0"/>
        <w:rPr>
          <w:rFonts w:ascii="Times New Roman" w:hAnsi="Times New Roman"/>
          <w:i/>
          <w:iCs/>
          <w:sz w:val="24"/>
          <w:szCs w:val="24"/>
        </w:rPr>
      </w:pPr>
      <w:r w:rsidRPr="00273453">
        <w:rPr>
          <w:rFonts w:ascii="Times New Roman" w:hAnsi="Times New Roman"/>
          <w:i/>
          <w:iCs/>
          <w:sz w:val="24"/>
          <w:szCs w:val="24"/>
        </w:rPr>
        <w:t xml:space="preserve">Statistical analysis of </w:t>
      </w:r>
      <w:proofErr w:type="spellStart"/>
      <w:r w:rsidRPr="00273453">
        <w:rPr>
          <w:rFonts w:ascii="Times New Roman" w:hAnsi="Times New Roman"/>
          <w:i/>
          <w:iCs/>
          <w:sz w:val="24"/>
          <w:szCs w:val="24"/>
        </w:rPr>
        <w:t>rsfMRI</w:t>
      </w:r>
      <w:proofErr w:type="spellEnd"/>
      <w:r w:rsidRPr="00273453">
        <w:rPr>
          <w:rFonts w:ascii="Times New Roman" w:hAnsi="Times New Roman"/>
          <w:i/>
          <w:iCs/>
          <w:sz w:val="24"/>
          <w:szCs w:val="24"/>
        </w:rPr>
        <w:t xml:space="preserve"> data </w:t>
      </w:r>
    </w:p>
    <w:p w:rsidR="0002101F" w:rsidRPr="00371EA1" w:rsidRDefault="0002101F" w:rsidP="0002101F">
      <w:pPr>
        <w:tabs>
          <w:tab w:val="left" w:pos="36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Pr="00371EA1">
        <w:rPr>
          <w:rFonts w:ascii="Times New Roman" w:hAnsi="Times New Roman"/>
          <w:sz w:val="24"/>
          <w:szCs w:val="24"/>
        </w:rPr>
        <w:t>The p-values were calculated employing permutation-based statistics (5</w:t>
      </w:r>
      <w:r>
        <w:rPr>
          <w:rFonts w:ascii="Times New Roman" w:hAnsi="Times New Roman"/>
          <w:sz w:val="24"/>
          <w:szCs w:val="24"/>
        </w:rPr>
        <w:t>,</w:t>
      </w:r>
      <w:r w:rsidRPr="00371EA1">
        <w:rPr>
          <w:rFonts w:ascii="Times New Roman" w:hAnsi="Times New Roman"/>
          <w:sz w:val="24"/>
          <w:szCs w:val="24"/>
        </w:rPr>
        <w:t xml:space="preserve">000 permutations) and corrected for multiple comparisons using the “3D” parameter settings with threshold-free cluster enhancement (TFCE), thereby avoiding the use of an arbitrary threshold for the initial cluster formation </w:t>
      </w:r>
      <w:r w:rsidRPr="00371EA1">
        <w:rPr>
          <w:rFonts w:ascii="Times New Roman" w:hAnsi="Times New Roman"/>
          <w:sz w:val="24"/>
          <w:szCs w:val="24"/>
          <w:lang w:eastAsia="it-IT"/>
        </w:rPr>
        <w:t>[6]</w:t>
      </w:r>
      <w:r w:rsidRPr="00371EA1">
        <w:rPr>
          <w:rFonts w:ascii="Times New Roman" w:hAnsi="Times New Roman"/>
          <w:sz w:val="24"/>
          <w:szCs w:val="24"/>
        </w:rPr>
        <w:t xml:space="preserve">. A p-value &lt;0.05 corrected for multiple comparisons across space (family-wise error rate correction) was considered statistically significant </w:t>
      </w:r>
      <w:r w:rsidRPr="00371EA1">
        <w:rPr>
          <w:rFonts w:ascii="Times New Roman" w:hAnsi="Times New Roman"/>
          <w:sz w:val="24"/>
          <w:szCs w:val="24"/>
          <w:lang w:eastAsia="it-IT"/>
        </w:rPr>
        <w:t>[7-8]</w:t>
      </w:r>
      <w:r w:rsidRPr="00371EA1">
        <w:rPr>
          <w:rFonts w:ascii="Times New Roman" w:hAnsi="Times New Roman"/>
          <w:sz w:val="24"/>
          <w:szCs w:val="24"/>
        </w:rPr>
        <w:t xml:space="preserve">. The between-group analysis was performed in the MNI152 space. In order to anatomically map the significant clusters of synchronization identified at the group analyses, we overlaid the corresponding statistic maps onto the Cerebellar Atlas in MNI152 space after normalization with FNIRT </w:t>
      </w:r>
      <w:r w:rsidRPr="00371EA1">
        <w:rPr>
          <w:rFonts w:ascii="Times New Roman" w:hAnsi="Times New Roman"/>
          <w:sz w:val="24"/>
          <w:szCs w:val="24"/>
          <w:lang w:eastAsia="it-IT"/>
        </w:rPr>
        <w:t>[9]</w:t>
      </w:r>
      <w:r w:rsidRPr="00371EA1">
        <w:rPr>
          <w:rFonts w:ascii="Times New Roman" w:hAnsi="Times New Roman"/>
          <w:sz w:val="24"/>
          <w:szCs w:val="24"/>
        </w:rPr>
        <w:t>.</w:t>
      </w:r>
    </w:p>
    <w:p w:rsidR="0002101F" w:rsidRPr="00371EA1" w:rsidRDefault="0002101F" w:rsidP="0002101F">
      <w:pPr>
        <w:tabs>
          <w:tab w:val="left" w:pos="360"/>
        </w:tabs>
        <w:spacing w:after="0" w:line="480" w:lineRule="auto"/>
        <w:rPr>
          <w:rFonts w:ascii="Times New Roman" w:hAnsi="Times New Roman"/>
          <w:i/>
          <w:iCs/>
          <w:sz w:val="24"/>
          <w:szCs w:val="24"/>
        </w:rPr>
      </w:pPr>
    </w:p>
    <w:p w:rsidR="0002101F" w:rsidRPr="00371EA1" w:rsidRDefault="0002101F" w:rsidP="0002101F">
      <w:pPr>
        <w:tabs>
          <w:tab w:val="left" w:pos="360"/>
        </w:tabs>
        <w:spacing w:after="0" w:line="240" w:lineRule="auto"/>
        <w:outlineLvl w:val="0"/>
        <w:rPr>
          <w:rFonts w:ascii="Times New Roman" w:hAnsi="Times New Roman"/>
          <w:sz w:val="24"/>
          <w:szCs w:val="24"/>
        </w:rPr>
      </w:pPr>
      <w:r w:rsidRPr="00371EA1">
        <w:rPr>
          <w:rFonts w:ascii="Times New Roman" w:hAnsi="Times New Roman"/>
          <w:b/>
          <w:sz w:val="24"/>
          <w:szCs w:val="24"/>
          <w:lang w:eastAsia="it-IT"/>
        </w:rPr>
        <w:br w:type="page"/>
      </w:r>
      <w:proofErr w:type="gramStart"/>
      <w:r w:rsidRPr="00371EA1">
        <w:rPr>
          <w:rFonts w:ascii="Times New Roman" w:hAnsi="Times New Roman"/>
          <w:b/>
          <w:iCs/>
          <w:sz w:val="24"/>
          <w:szCs w:val="24"/>
        </w:rPr>
        <w:lastRenderedPageBreak/>
        <w:t>Supplementary</w:t>
      </w:r>
      <w:r w:rsidRPr="00371EA1">
        <w:rPr>
          <w:rFonts w:ascii="Times New Roman" w:hAnsi="Times New Roman"/>
          <w:b/>
          <w:sz w:val="24"/>
          <w:szCs w:val="24"/>
          <w:lang w:eastAsia="it-IT"/>
        </w:rPr>
        <w:t xml:space="preserve"> Table 1</w:t>
      </w:r>
      <w:r>
        <w:rPr>
          <w:rFonts w:ascii="Times New Roman" w:hAnsi="Times New Roman"/>
          <w:b/>
          <w:sz w:val="24"/>
          <w:szCs w:val="24"/>
          <w:lang w:eastAsia="it-IT"/>
        </w:rPr>
        <w:t>.</w:t>
      </w:r>
      <w:proofErr w:type="gramEnd"/>
      <w:r>
        <w:rPr>
          <w:rFonts w:ascii="Times New Roman" w:hAnsi="Times New Roman"/>
          <w:b/>
          <w:sz w:val="24"/>
          <w:szCs w:val="24"/>
          <w:lang w:eastAsia="it-IT"/>
        </w:rPr>
        <w:t xml:space="preserve"> </w:t>
      </w:r>
      <w:r w:rsidRPr="00371EA1">
        <w:rPr>
          <w:rFonts w:ascii="Times New Roman" w:hAnsi="Times New Roman"/>
          <w:sz w:val="24"/>
          <w:szCs w:val="24"/>
        </w:rPr>
        <w:t xml:space="preserve">Extent and MNI coordinates of the clusters where the difference of Z-transformed </w:t>
      </w:r>
      <w:proofErr w:type="spellStart"/>
      <w:r w:rsidRPr="00371EA1">
        <w:rPr>
          <w:rFonts w:ascii="Times New Roman" w:hAnsi="Times New Roman"/>
          <w:sz w:val="24"/>
          <w:szCs w:val="24"/>
        </w:rPr>
        <w:t>ReHo</w:t>
      </w:r>
      <w:proofErr w:type="spellEnd"/>
      <w:r w:rsidRPr="00371EA1">
        <w:rPr>
          <w:rFonts w:ascii="Times New Roman" w:hAnsi="Times New Roman"/>
          <w:sz w:val="24"/>
          <w:szCs w:val="24"/>
        </w:rPr>
        <w:t xml:space="preserve"> between follow-up and baseline is greater in the </w:t>
      </w:r>
      <w:r w:rsidRPr="00371EA1">
        <w:rPr>
          <w:rFonts w:ascii="Times New Roman" w:hAnsi="Times New Roman"/>
          <w:color w:val="000000"/>
          <w:sz w:val="24"/>
          <w:szCs w:val="24"/>
        </w:rPr>
        <w:t xml:space="preserve">attention training </w:t>
      </w:r>
      <w:r w:rsidRPr="00371EA1">
        <w:rPr>
          <w:rFonts w:ascii="Times New Roman" w:hAnsi="Times New Roman"/>
          <w:sz w:val="24"/>
          <w:szCs w:val="24"/>
        </w:rPr>
        <w:t xml:space="preserve">group as compared to the </w:t>
      </w:r>
      <w:r w:rsidRPr="00371EA1">
        <w:rPr>
          <w:rFonts w:ascii="Times New Roman" w:hAnsi="Times New Roman"/>
          <w:color w:val="000000"/>
          <w:sz w:val="24"/>
          <w:szCs w:val="24"/>
        </w:rPr>
        <w:t xml:space="preserve">standard care </w:t>
      </w:r>
      <w:r w:rsidRPr="00371EA1">
        <w:rPr>
          <w:rFonts w:ascii="Times New Roman" w:hAnsi="Times New Roman"/>
          <w:sz w:val="24"/>
          <w:szCs w:val="24"/>
        </w:rPr>
        <w:t>group (TFCE, p&lt;0.05).</w:t>
      </w:r>
    </w:p>
    <w:p w:rsidR="0002101F" w:rsidRPr="00371EA1" w:rsidRDefault="0002101F" w:rsidP="0002101F">
      <w:pPr>
        <w:tabs>
          <w:tab w:val="left" w:pos="360"/>
        </w:tabs>
        <w:spacing w:after="0" w:line="240" w:lineRule="auto"/>
        <w:rPr>
          <w:rFonts w:ascii="Times New Roman" w:hAnsi="Times New Roman"/>
          <w:b/>
          <w:bCs/>
          <w:sz w:val="24"/>
          <w:szCs w:val="24"/>
        </w:rPr>
      </w:pPr>
    </w:p>
    <w:p w:rsidR="0002101F" w:rsidRPr="00371EA1" w:rsidRDefault="0002101F" w:rsidP="0002101F">
      <w:pPr>
        <w:tabs>
          <w:tab w:val="left" w:pos="360"/>
        </w:tabs>
        <w:spacing w:after="0" w:line="240" w:lineRule="auto"/>
        <w:rPr>
          <w:rFonts w:ascii="Times New Roman" w:hAnsi="Times New Roman"/>
          <w:b/>
          <w:bCs/>
          <w:sz w:val="24"/>
          <w:szCs w:val="24"/>
        </w:rPr>
      </w:pPr>
    </w:p>
    <w:tbl>
      <w:tblPr>
        <w:tblW w:w="0" w:type="auto"/>
        <w:jc w:val="center"/>
        <w:tblLayout w:type="fixed"/>
        <w:tblLook w:val="04A0" w:firstRow="1" w:lastRow="0" w:firstColumn="1" w:lastColumn="0" w:noHBand="0" w:noVBand="1"/>
      </w:tblPr>
      <w:tblGrid>
        <w:gridCol w:w="232"/>
        <w:gridCol w:w="853"/>
        <w:gridCol w:w="81"/>
        <w:gridCol w:w="1536"/>
        <w:gridCol w:w="986"/>
        <w:gridCol w:w="1003"/>
        <w:gridCol w:w="914"/>
        <w:gridCol w:w="2385"/>
      </w:tblGrid>
      <w:tr w:rsidR="0002101F" w:rsidRPr="00371EA1" w:rsidTr="00E25103">
        <w:trPr>
          <w:trHeight w:val="47"/>
          <w:jc w:val="center"/>
        </w:trPr>
        <w:tc>
          <w:tcPr>
            <w:tcW w:w="1085" w:type="dxa"/>
            <w:gridSpan w:val="2"/>
            <w:tcBorders>
              <w:top w:val="single" w:sz="12" w:space="0" w:color="000000"/>
              <w:left w:val="nil"/>
              <w:bottom w:val="single" w:sz="4" w:space="0" w:color="000000"/>
              <w:right w:val="nil"/>
            </w:tcBorders>
            <w:hideMark/>
          </w:tcPr>
          <w:p w:rsidR="0002101F" w:rsidRDefault="0002101F" w:rsidP="00E25103">
            <w:pPr>
              <w:tabs>
                <w:tab w:val="left" w:pos="360"/>
              </w:tabs>
              <w:spacing w:after="0" w:line="240" w:lineRule="auto"/>
              <w:rPr>
                <w:rFonts w:ascii="Times New Roman" w:hAnsi="Times New Roman"/>
                <w:b/>
                <w:sz w:val="24"/>
                <w:szCs w:val="24"/>
              </w:rPr>
            </w:pPr>
            <w:r>
              <w:rPr>
                <w:rFonts w:ascii="Times New Roman" w:hAnsi="Times New Roman"/>
                <w:b/>
                <w:sz w:val="24"/>
                <w:szCs w:val="24"/>
              </w:rPr>
              <w:t>Cluster</w:t>
            </w:r>
          </w:p>
          <w:p w:rsidR="0002101F" w:rsidRPr="00371EA1" w:rsidRDefault="0002101F" w:rsidP="00E25103">
            <w:pPr>
              <w:tabs>
                <w:tab w:val="left" w:pos="360"/>
              </w:tabs>
              <w:spacing w:after="0" w:line="240" w:lineRule="auto"/>
              <w:rPr>
                <w:rFonts w:ascii="Times New Roman" w:hAnsi="Times New Roman"/>
                <w:b/>
                <w:sz w:val="24"/>
                <w:szCs w:val="24"/>
              </w:rPr>
            </w:pPr>
            <w:r w:rsidRPr="00371EA1">
              <w:rPr>
                <w:rFonts w:ascii="Times New Roman" w:hAnsi="Times New Roman"/>
                <w:b/>
                <w:sz w:val="24"/>
                <w:szCs w:val="24"/>
              </w:rPr>
              <w:t>number</w:t>
            </w:r>
          </w:p>
        </w:tc>
        <w:tc>
          <w:tcPr>
            <w:tcW w:w="1617" w:type="dxa"/>
            <w:gridSpan w:val="2"/>
            <w:tcBorders>
              <w:top w:val="single" w:sz="12" w:space="0" w:color="000000"/>
              <w:left w:val="nil"/>
              <w:bottom w:val="single" w:sz="4" w:space="0" w:color="000000"/>
              <w:right w:val="nil"/>
            </w:tcBorders>
          </w:tcPr>
          <w:p w:rsidR="0002101F" w:rsidRPr="00371EA1" w:rsidRDefault="0002101F" w:rsidP="00E25103">
            <w:pPr>
              <w:tabs>
                <w:tab w:val="left" w:pos="360"/>
              </w:tabs>
              <w:spacing w:after="0" w:line="240" w:lineRule="auto"/>
              <w:jc w:val="center"/>
              <w:rPr>
                <w:rFonts w:ascii="Times New Roman" w:hAnsi="Times New Roman"/>
                <w:b/>
                <w:sz w:val="24"/>
                <w:szCs w:val="24"/>
              </w:rPr>
            </w:pPr>
            <w:r>
              <w:rPr>
                <w:rFonts w:ascii="Times New Roman" w:hAnsi="Times New Roman"/>
                <w:b/>
                <w:sz w:val="24"/>
                <w:szCs w:val="24"/>
              </w:rPr>
              <w:t xml:space="preserve">Cluster </w:t>
            </w:r>
            <w:r w:rsidRPr="00371EA1">
              <w:rPr>
                <w:rFonts w:ascii="Times New Roman" w:hAnsi="Times New Roman"/>
                <w:b/>
                <w:sz w:val="24"/>
                <w:szCs w:val="24"/>
              </w:rPr>
              <w:t>extent</w:t>
            </w:r>
            <w:r>
              <w:rPr>
                <w:rFonts w:ascii="Times New Roman" w:hAnsi="Times New Roman"/>
                <w:b/>
                <w:sz w:val="24"/>
                <w:szCs w:val="24"/>
              </w:rPr>
              <w:t xml:space="preserve"> </w:t>
            </w:r>
            <w:r w:rsidRPr="00371EA1">
              <w:rPr>
                <w:rFonts w:ascii="Times New Roman" w:hAnsi="Times New Roman"/>
                <w:b/>
                <w:sz w:val="24"/>
                <w:szCs w:val="24"/>
              </w:rPr>
              <w:t>(mm</w:t>
            </w:r>
            <w:r w:rsidRPr="00371EA1">
              <w:rPr>
                <w:rFonts w:ascii="Times New Roman" w:hAnsi="Times New Roman"/>
                <w:b/>
                <w:sz w:val="24"/>
                <w:szCs w:val="24"/>
                <w:vertAlign w:val="superscript"/>
              </w:rPr>
              <w:t>3</w:t>
            </w:r>
            <w:r w:rsidRPr="00371EA1">
              <w:rPr>
                <w:rFonts w:ascii="Times New Roman" w:hAnsi="Times New Roman"/>
                <w:b/>
                <w:sz w:val="24"/>
                <w:szCs w:val="24"/>
              </w:rPr>
              <w:t>)</w:t>
            </w:r>
          </w:p>
        </w:tc>
        <w:tc>
          <w:tcPr>
            <w:tcW w:w="986" w:type="dxa"/>
            <w:tcBorders>
              <w:top w:val="single" w:sz="12" w:space="0" w:color="000000"/>
              <w:left w:val="nil"/>
              <w:bottom w:val="single" w:sz="4" w:space="0" w:color="000000"/>
              <w:right w:val="nil"/>
            </w:tcBorders>
            <w:hideMark/>
          </w:tcPr>
          <w:p w:rsidR="0002101F" w:rsidRPr="00371EA1" w:rsidRDefault="0002101F" w:rsidP="00E25103">
            <w:pPr>
              <w:tabs>
                <w:tab w:val="left" w:pos="360"/>
              </w:tabs>
              <w:spacing w:after="0" w:line="240" w:lineRule="auto"/>
              <w:jc w:val="center"/>
              <w:rPr>
                <w:rFonts w:ascii="Times New Roman" w:hAnsi="Times New Roman"/>
                <w:b/>
                <w:sz w:val="24"/>
                <w:szCs w:val="24"/>
              </w:rPr>
            </w:pPr>
            <w:r w:rsidRPr="00371EA1">
              <w:rPr>
                <w:rFonts w:ascii="Times New Roman" w:hAnsi="Times New Roman"/>
                <w:b/>
                <w:sz w:val="24"/>
                <w:szCs w:val="24"/>
              </w:rPr>
              <w:t>Max</w:t>
            </w:r>
            <w:r>
              <w:rPr>
                <w:rFonts w:ascii="Times New Roman" w:hAnsi="Times New Roman"/>
                <w:b/>
                <w:sz w:val="24"/>
                <w:szCs w:val="24"/>
              </w:rPr>
              <w:t xml:space="preserve"> </w:t>
            </w:r>
            <w:r w:rsidRPr="00371EA1">
              <w:rPr>
                <w:rFonts w:ascii="Times New Roman" w:hAnsi="Times New Roman"/>
                <w:b/>
                <w:sz w:val="24"/>
                <w:szCs w:val="24"/>
              </w:rPr>
              <w:t>X</w:t>
            </w:r>
          </w:p>
          <w:p w:rsidR="0002101F" w:rsidRPr="00371EA1" w:rsidRDefault="0002101F" w:rsidP="00E25103">
            <w:pPr>
              <w:tabs>
                <w:tab w:val="left" w:pos="360"/>
              </w:tabs>
              <w:spacing w:after="0" w:line="240" w:lineRule="auto"/>
              <w:jc w:val="center"/>
              <w:rPr>
                <w:rFonts w:ascii="Times New Roman" w:hAnsi="Times New Roman"/>
                <w:b/>
                <w:sz w:val="24"/>
                <w:szCs w:val="24"/>
              </w:rPr>
            </w:pPr>
            <w:r w:rsidRPr="00371EA1">
              <w:rPr>
                <w:rFonts w:ascii="Times New Roman" w:hAnsi="Times New Roman"/>
                <w:b/>
                <w:sz w:val="24"/>
                <w:szCs w:val="24"/>
              </w:rPr>
              <w:t>(mm)</w:t>
            </w:r>
          </w:p>
        </w:tc>
        <w:tc>
          <w:tcPr>
            <w:tcW w:w="1003" w:type="dxa"/>
            <w:tcBorders>
              <w:top w:val="single" w:sz="12" w:space="0" w:color="000000"/>
              <w:left w:val="nil"/>
              <w:bottom w:val="single" w:sz="4" w:space="0" w:color="000000"/>
              <w:right w:val="nil"/>
            </w:tcBorders>
            <w:hideMark/>
          </w:tcPr>
          <w:p w:rsidR="0002101F" w:rsidRPr="00371EA1" w:rsidRDefault="0002101F" w:rsidP="00E25103">
            <w:pPr>
              <w:tabs>
                <w:tab w:val="left" w:pos="360"/>
              </w:tabs>
              <w:spacing w:after="0" w:line="240" w:lineRule="auto"/>
              <w:jc w:val="center"/>
              <w:rPr>
                <w:rFonts w:ascii="Times New Roman" w:hAnsi="Times New Roman"/>
                <w:b/>
                <w:sz w:val="24"/>
                <w:szCs w:val="24"/>
              </w:rPr>
            </w:pPr>
            <w:r w:rsidRPr="00371EA1">
              <w:rPr>
                <w:rFonts w:ascii="Times New Roman" w:hAnsi="Times New Roman"/>
                <w:b/>
                <w:sz w:val="24"/>
                <w:szCs w:val="24"/>
              </w:rPr>
              <w:t>Max</w:t>
            </w:r>
            <w:r>
              <w:rPr>
                <w:rFonts w:ascii="Times New Roman" w:hAnsi="Times New Roman"/>
                <w:b/>
                <w:sz w:val="24"/>
                <w:szCs w:val="24"/>
              </w:rPr>
              <w:t xml:space="preserve"> </w:t>
            </w:r>
            <w:r w:rsidRPr="00371EA1">
              <w:rPr>
                <w:rFonts w:ascii="Times New Roman" w:hAnsi="Times New Roman"/>
                <w:b/>
                <w:sz w:val="24"/>
                <w:szCs w:val="24"/>
              </w:rPr>
              <w:t>Y</w:t>
            </w:r>
          </w:p>
          <w:p w:rsidR="0002101F" w:rsidRPr="00371EA1" w:rsidRDefault="0002101F" w:rsidP="00E25103">
            <w:pPr>
              <w:tabs>
                <w:tab w:val="left" w:pos="360"/>
              </w:tabs>
              <w:spacing w:after="0" w:line="240" w:lineRule="auto"/>
              <w:jc w:val="center"/>
              <w:rPr>
                <w:rFonts w:ascii="Times New Roman" w:hAnsi="Times New Roman"/>
                <w:b/>
                <w:sz w:val="24"/>
                <w:szCs w:val="24"/>
              </w:rPr>
            </w:pPr>
            <w:r w:rsidRPr="00371EA1">
              <w:rPr>
                <w:rFonts w:ascii="Times New Roman" w:hAnsi="Times New Roman"/>
                <w:b/>
                <w:sz w:val="24"/>
                <w:szCs w:val="24"/>
              </w:rPr>
              <w:t>(mm)</w:t>
            </w:r>
          </w:p>
        </w:tc>
        <w:tc>
          <w:tcPr>
            <w:tcW w:w="914" w:type="dxa"/>
            <w:tcBorders>
              <w:top w:val="single" w:sz="12" w:space="0" w:color="000000"/>
              <w:left w:val="nil"/>
              <w:bottom w:val="single" w:sz="4" w:space="0" w:color="000000"/>
              <w:right w:val="nil"/>
            </w:tcBorders>
            <w:hideMark/>
          </w:tcPr>
          <w:p w:rsidR="0002101F" w:rsidRPr="00371EA1" w:rsidRDefault="0002101F" w:rsidP="00E25103">
            <w:pPr>
              <w:tabs>
                <w:tab w:val="left" w:pos="360"/>
              </w:tabs>
              <w:spacing w:after="0" w:line="240" w:lineRule="auto"/>
              <w:jc w:val="center"/>
              <w:rPr>
                <w:rFonts w:ascii="Times New Roman" w:hAnsi="Times New Roman"/>
                <w:b/>
                <w:sz w:val="24"/>
                <w:szCs w:val="24"/>
              </w:rPr>
            </w:pPr>
            <w:r w:rsidRPr="00371EA1">
              <w:rPr>
                <w:rFonts w:ascii="Times New Roman" w:hAnsi="Times New Roman"/>
                <w:b/>
                <w:sz w:val="24"/>
                <w:szCs w:val="24"/>
              </w:rPr>
              <w:t>Max</w:t>
            </w:r>
            <w:r>
              <w:rPr>
                <w:rFonts w:ascii="Times New Roman" w:hAnsi="Times New Roman"/>
                <w:b/>
                <w:sz w:val="24"/>
                <w:szCs w:val="24"/>
              </w:rPr>
              <w:t xml:space="preserve"> </w:t>
            </w:r>
            <w:r w:rsidRPr="00371EA1">
              <w:rPr>
                <w:rFonts w:ascii="Times New Roman" w:hAnsi="Times New Roman"/>
                <w:b/>
                <w:sz w:val="24"/>
                <w:szCs w:val="24"/>
              </w:rPr>
              <w:t>Z</w:t>
            </w:r>
          </w:p>
          <w:p w:rsidR="0002101F" w:rsidRPr="00371EA1" w:rsidRDefault="0002101F" w:rsidP="00E25103">
            <w:pPr>
              <w:tabs>
                <w:tab w:val="left" w:pos="360"/>
              </w:tabs>
              <w:spacing w:after="0" w:line="240" w:lineRule="auto"/>
              <w:jc w:val="center"/>
              <w:rPr>
                <w:rFonts w:ascii="Times New Roman" w:hAnsi="Times New Roman"/>
                <w:b/>
                <w:sz w:val="24"/>
                <w:szCs w:val="24"/>
              </w:rPr>
            </w:pPr>
            <w:r w:rsidRPr="00371EA1">
              <w:rPr>
                <w:rFonts w:ascii="Times New Roman" w:hAnsi="Times New Roman"/>
                <w:b/>
                <w:sz w:val="24"/>
                <w:szCs w:val="24"/>
              </w:rPr>
              <w:t>(mm)</w:t>
            </w:r>
          </w:p>
        </w:tc>
        <w:tc>
          <w:tcPr>
            <w:tcW w:w="2385" w:type="dxa"/>
            <w:tcBorders>
              <w:top w:val="single" w:sz="12" w:space="0" w:color="000000"/>
              <w:left w:val="nil"/>
              <w:bottom w:val="single" w:sz="4" w:space="0" w:color="000000"/>
              <w:right w:val="nil"/>
            </w:tcBorders>
            <w:hideMark/>
          </w:tcPr>
          <w:p w:rsidR="0002101F" w:rsidRPr="00371EA1" w:rsidRDefault="0002101F" w:rsidP="00E25103">
            <w:pPr>
              <w:tabs>
                <w:tab w:val="left" w:pos="360"/>
              </w:tabs>
              <w:spacing w:after="0" w:line="240" w:lineRule="auto"/>
              <w:jc w:val="center"/>
              <w:rPr>
                <w:rFonts w:ascii="Times New Roman" w:hAnsi="Times New Roman"/>
                <w:b/>
                <w:sz w:val="24"/>
                <w:szCs w:val="24"/>
              </w:rPr>
            </w:pPr>
            <w:r w:rsidRPr="00371EA1">
              <w:rPr>
                <w:rFonts w:ascii="Times New Roman" w:hAnsi="Times New Roman"/>
                <w:b/>
                <w:sz w:val="24"/>
                <w:szCs w:val="24"/>
              </w:rPr>
              <w:t>Anatomical area</w:t>
            </w:r>
          </w:p>
        </w:tc>
      </w:tr>
      <w:tr w:rsidR="0002101F" w:rsidRPr="00371EA1" w:rsidTr="00E25103">
        <w:trPr>
          <w:gridBefore w:val="1"/>
          <w:wBefore w:w="232" w:type="dxa"/>
          <w:trHeight w:val="67"/>
          <w:jc w:val="center"/>
        </w:trPr>
        <w:tc>
          <w:tcPr>
            <w:tcW w:w="934" w:type="dxa"/>
            <w:gridSpan w:val="2"/>
            <w:tcBorders>
              <w:top w:val="single" w:sz="4" w:space="0" w:color="auto"/>
              <w:left w:val="nil"/>
              <w:bottom w:val="nil"/>
              <w:right w:val="nil"/>
            </w:tcBorders>
            <w:vAlign w:val="center"/>
            <w:hideMark/>
          </w:tcPr>
          <w:p w:rsidR="0002101F" w:rsidRPr="00371EA1" w:rsidRDefault="0002101F" w:rsidP="00E25103">
            <w:pPr>
              <w:tabs>
                <w:tab w:val="left" w:pos="360"/>
              </w:tabs>
              <w:spacing w:after="0" w:line="240" w:lineRule="auto"/>
              <w:rPr>
                <w:rFonts w:ascii="Times New Roman" w:eastAsia="Times New Roman" w:hAnsi="Times New Roman"/>
                <w:sz w:val="24"/>
                <w:szCs w:val="24"/>
              </w:rPr>
            </w:pPr>
            <w:r w:rsidRPr="00371EA1">
              <w:rPr>
                <w:rFonts w:ascii="Times New Roman" w:hAnsi="Times New Roman"/>
                <w:sz w:val="24"/>
                <w:szCs w:val="24"/>
              </w:rPr>
              <w:t>1</w:t>
            </w:r>
          </w:p>
        </w:tc>
        <w:tc>
          <w:tcPr>
            <w:tcW w:w="1536" w:type="dxa"/>
            <w:tcBorders>
              <w:top w:val="single" w:sz="4" w:space="0" w:color="auto"/>
              <w:left w:val="nil"/>
              <w:bottom w:val="nil"/>
              <w:right w:val="nil"/>
            </w:tcBorders>
            <w:vAlign w:val="center"/>
            <w:hideMark/>
          </w:tcPr>
          <w:p w:rsidR="0002101F" w:rsidRPr="00371EA1" w:rsidRDefault="0002101F" w:rsidP="00E25103">
            <w:pPr>
              <w:tabs>
                <w:tab w:val="left" w:pos="360"/>
              </w:tabs>
              <w:spacing w:after="0" w:line="240" w:lineRule="auto"/>
              <w:jc w:val="center"/>
              <w:rPr>
                <w:rFonts w:ascii="Times New Roman" w:hAnsi="Times New Roman"/>
                <w:sz w:val="24"/>
                <w:szCs w:val="24"/>
              </w:rPr>
            </w:pPr>
            <w:r w:rsidRPr="00371EA1">
              <w:rPr>
                <w:rFonts w:ascii="Times New Roman" w:eastAsia="Times New Roman" w:hAnsi="Times New Roman"/>
                <w:sz w:val="24"/>
                <w:szCs w:val="24"/>
              </w:rPr>
              <w:t>2184</w:t>
            </w:r>
          </w:p>
        </w:tc>
        <w:tc>
          <w:tcPr>
            <w:tcW w:w="986" w:type="dxa"/>
            <w:tcBorders>
              <w:top w:val="single" w:sz="4" w:space="0" w:color="auto"/>
              <w:left w:val="nil"/>
              <w:bottom w:val="nil"/>
              <w:right w:val="nil"/>
            </w:tcBorders>
            <w:vAlign w:val="center"/>
            <w:hideMark/>
          </w:tcPr>
          <w:p w:rsidR="0002101F" w:rsidRPr="00371EA1" w:rsidRDefault="0002101F" w:rsidP="00E25103">
            <w:pPr>
              <w:tabs>
                <w:tab w:val="left" w:pos="360"/>
              </w:tabs>
              <w:spacing w:after="0" w:line="240" w:lineRule="auto"/>
              <w:jc w:val="center"/>
              <w:rPr>
                <w:rFonts w:ascii="Times New Roman" w:eastAsia="Times New Roman" w:hAnsi="Times New Roman"/>
                <w:sz w:val="24"/>
                <w:szCs w:val="24"/>
              </w:rPr>
            </w:pPr>
            <w:r w:rsidRPr="00371EA1">
              <w:rPr>
                <w:rFonts w:ascii="Times New Roman" w:hAnsi="Times New Roman"/>
                <w:sz w:val="24"/>
                <w:szCs w:val="24"/>
              </w:rPr>
              <w:t>-4</w:t>
            </w:r>
          </w:p>
        </w:tc>
        <w:tc>
          <w:tcPr>
            <w:tcW w:w="1003" w:type="dxa"/>
            <w:tcBorders>
              <w:top w:val="single" w:sz="4" w:space="0" w:color="auto"/>
              <w:left w:val="nil"/>
              <w:bottom w:val="nil"/>
              <w:right w:val="nil"/>
            </w:tcBorders>
            <w:vAlign w:val="center"/>
            <w:hideMark/>
          </w:tcPr>
          <w:p w:rsidR="0002101F" w:rsidRPr="00371EA1" w:rsidRDefault="0002101F" w:rsidP="00E25103">
            <w:pPr>
              <w:tabs>
                <w:tab w:val="left" w:pos="360"/>
              </w:tabs>
              <w:spacing w:after="0" w:line="240" w:lineRule="auto"/>
              <w:jc w:val="center"/>
              <w:rPr>
                <w:rFonts w:ascii="Times New Roman" w:eastAsia="Times New Roman" w:hAnsi="Times New Roman"/>
                <w:sz w:val="24"/>
                <w:szCs w:val="24"/>
              </w:rPr>
            </w:pPr>
            <w:r w:rsidRPr="00371EA1">
              <w:rPr>
                <w:rFonts w:ascii="Times New Roman" w:eastAsia="Times New Roman" w:hAnsi="Times New Roman"/>
                <w:sz w:val="24"/>
                <w:szCs w:val="24"/>
              </w:rPr>
              <w:t>-62</w:t>
            </w:r>
          </w:p>
        </w:tc>
        <w:tc>
          <w:tcPr>
            <w:tcW w:w="914" w:type="dxa"/>
            <w:tcBorders>
              <w:top w:val="single" w:sz="4" w:space="0" w:color="auto"/>
              <w:left w:val="nil"/>
              <w:bottom w:val="nil"/>
              <w:right w:val="nil"/>
            </w:tcBorders>
            <w:vAlign w:val="center"/>
            <w:hideMark/>
          </w:tcPr>
          <w:p w:rsidR="0002101F" w:rsidRPr="00371EA1" w:rsidRDefault="0002101F" w:rsidP="00E25103">
            <w:pPr>
              <w:tabs>
                <w:tab w:val="left" w:pos="360"/>
              </w:tabs>
              <w:spacing w:after="0" w:line="240" w:lineRule="auto"/>
              <w:jc w:val="center"/>
              <w:rPr>
                <w:rFonts w:ascii="Times New Roman" w:hAnsi="Times New Roman"/>
                <w:sz w:val="24"/>
                <w:szCs w:val="24"/>
              </w:rPr>
            </w:pPr>
            <w:r w:rsidRPr="00371EA1">
              <w:rPr>
                <w:rFonts w:ascii="Times New Roman" w:eastAsia="Times New Roman" w:hAnsi="Times New Roman"/>
                <w:sz w:val="24"/>
                <w:szCs w:val="24"/>
              </w:rPr>
              <w:t>-34</w:t>
            </w:r>
          </w:p>
        </w:tc>
        <w:tc>
          <w:tcPr>
            <w:tcW w:w="2385" w:type="dxa"/>
            <w:tcBorders>
              <w:top w:val="single" w:sz="4" w:space="0" w:color="auto"/>
              <w:left w:val="nil"/>
              <w:bottom w:val="nil"/>
              <w:right w:val="nil"/>
            </w:tcBorders>
            <w:vAlign w:val="center"/>
            <w:hideMark/>
          </w:tcPr>
          <w:p w:rsidR="0002101F" w:rsidRPr="00371EA1" w:rsidRDefault="0002101F" w:rsidP="00E25103">
            <w:pPr>
              <w:tabs>
                <w:tab w:val="left" w:pos="360"/>
              </w:tabs>
              <w:spacing w:after="0" w:line="240" w:lineRule="auto"/>
              <w:jc w:val="center"/>
              <w:rPr>
                <w:rFonts w:ascii="Times New Roman" w:eastAsia="Times New Roman" w:hAnsi="Times New Roman"/>
                <w:sz w:val="24"/>
                <w:szCs w:val="24"/>
              </w:rPr>
            </w:pPr>
            <w:proofErr w:type="spellStart"/>
            <w:r w:rsidRPr="00371EA1">
              <w:rPr>
                <w:rFonts w:ascii="Times New Roman" w:hAnsi="Times New Roman"/>
                <w:sz w:val="24"/>
                <w:szCs w:val="24"/>
              </w:rPr>
              <w:t>Vermis</w:t>
            </w:r>
            <w:proofErr w:type="spellEnd"/>
            <w:r w:rsidRPr="00371EA1">
              <w:rPr>
                <w:rFonts w:ascii="Times New Roman" w:hAnsi="Times New Roman"/>
                <w:sz w:val="24"/>
                <w:szCs w:val="24"/>
              </w:rPr>
              <w:t xml:space="preserve"> </w:t>
            </w:r>
            <w:proofErr w:type="spellStart"/>
            <w:r w:rsidRPr="00371EA1">
              <w:rPr>
                <w:rFonts w:ascii="Times New Roman" w:hAnsi="Times New Roman"/>
                <w:sz w:val="24"/>
                <w:szCs w:val="24"/>
              </w:rPr>
              <w:t>VIIIb</w:t>
            </w:r>
            <w:proofErr w:type="spellEnd"/>
          </w:p>
        </w:tc>
      </w:tr>
      <w:tr w:rsidR="0002101F" w:rsidRPr="00371EA1" w:rsidTr="00E25103">
        <w:trPr>
          <w:gridBefore w:val="1"/>
          <w:wBefore w:w="232" w:type="dxa"/>
          <w:trHeight w:val="77"/>
          <w:jc w:val="center"/>
        </w:trPr>
        <w:tc>
          <w:tcPr>
            <w:tcW w:w="934" w:type="dxa"/>
            <w:gridSpan w:val="2"/>
            <w:vAlign w:val="center"/>
            <w:hideMark/>
          </w:tcPr>
          <w:p w:rsidR="0002101F" w:rsidRPr="00371EA1" w:rsidRDefault="0002101F" w:rsidP="00E25103">
            <w:pPr>
              <w:tabs>
                <w:tab w:val="left" w:pos="360"/>
              </w:tabs>
              <w:spacing w:after="0" w:line="240" w:lineRule="auto"/>
              <w:rPr>
                <w:rFonts w:ascii="Times New Roman" w:hAnsi="Times New Roman"/>
                <w:sz w:val="24"/>
                <w:szCs w:val="24"/>
              </w:rPr>
            </w:pPr>
            <w:r w:rsidRPr="00371EA1">
              <w:rPr>
                <w:rFonts w:ascii="Times New Roman" w:hAnsi="Times New Roman"/>
                <w:sz w:val="24"/>
                <w:szCs w:val="24"/>
              </w:rPr>
              <w:t>2</w:t>
            </w:r>
          </w:p>
        </w:tc>
        <w:tc>
          <w:tcPr>
            <w:tcW w:w="1536" w:type="dxa"/>
            <w:vAlign w:val="center"/>
            <w:hideMark/>
          </w:tcPr>
          <w:p w:rsidR="0002101F" w:rsidRPr="00371EA1" w:rsidRDefault="0002101F" w:rsidP="00E25103">
            <w:pPr>
              <w:tabs>
                <w:tab w:val="left" w:pos="360"/>
              </w:tabs>
              <w:spacing w:after="0" w:line="240" w:lineRule="auto"/>
              <w:jc w:val="center"/>
              <w:rPr>
                <w:rFonts w:ascii="Times New Roman" w:eastAsia="Times New Roman" w:hAnsi="Times New Roman"/>
                <w:sz w:val="24"/>
                <w:szCs w:val="24"/>
              </w:rPr>
            </w:pPr>
            <w:r w:rsidRPr="00371EA1">
              <w:rPr>
                <w:rFonts w:ascii="Times New Roman" w:eastAsia="Times New Roman" w:hAnsi="Times New Roman"/>
                <w:sz w:val="24"/>
                <w:szCs w:val="24"/>
              </w:rPr>
              <w:t>848</w:t>
            </w:r>
          </w:p>
        </w:tc>
        <w:tc>
          <w:tcPr>
            <w:tcW w:w="986" w:type="dxa"/>
            <w:vAlign w:val="center"/>
            <w:hideMark/>
          </w:tcPr>
          <w:p w:rsidR="0002101F" w:rsidRPr="00371EA1" w:rsidRDefault="0002101F" w:rsidP="00E25103">
            <w:pPr>
              <w:tabs>
                <w:tab w:val="left" w:pos="360"/>
              </w:tabs>
              <w:spacing w:after="0" w:line="240" w:lineRule="auto"/>
              <w:jc w:val="center"/>
              <w:rPr>
                <w:rFonts w:ascii="Times New Roman" w:hAnsi="Times New Roman"/>
                <w:sz w:val="24"/>
                <w:szCs w:val="24"/>
              </w:rPr>
            </w:pPr>
            <w:r w:rsidRPr="00371EA1">
              <w:rPr>
                <w:rFonts w:ascii="Times New Roman" w:hAnsi="Times New Roman"/>
                <w:sz w:val="24"/>
                <w:szCs w:val="24"/>
              </w:rPr>
              <w:t>22</w:t>
            </w:r>
          </w:p>
        </w:tc>
        <w:tc>
          <w:tcPr>
            <w:tcW w:w="1003" w:type="dxa"/>
            <w:vAlign w:val="center"/>
            <w:hideMark/>
          </w:tcPr>
          <w:p w:rsidR="0002101F" w:rsidRPr="00371EA1" w:rsidRDefault="0002101F" w:rsidP="00E25103">
            <w:pPr>
              <w:tabs>
                <w:tab w:val="left" w:pos="360"/>
              </w:tabs>
              <w:spacing w:after="0" w:line="240" w:lineRule="auto"/>
              <w:jc w:val="center"/>
              <w:rPr>
                <w:rFonts w:ascii="Times New Roman" w:eastAsia="Times New Roman" w:hAnsi="Times New Roman"/>
                <w:sz w:val="24"/>
                <w:szCs w:val="24"/>
              </w:rPr>
            </w:pPr>
            <w:r w:rsidRPr="00371EA1">
              <w:rPr>
                <w:rFonts w:ascii="Times New Roman" w:eastAsia="Times New Roman" w:hAnsi="Times New Roman"/>
                <w:sz w:val="24"/>
                <w:szCs w:val="24"/>
              </w:rPr>
              <w:t>-68</w:t>
            </w:r>
          </w:p>
        </w:tc>
        <w:tc>
          <w:tcPr>
            <w:tcW w:w="914" w:type="dxa"/>
            <w:vAlign w:val="center"/>
            <w:hideMark/>
          </w:tcPr>
          <w:p w:rsidR="0002101F" w:rsidRPr="00371EA1" w:rsidRDefault="0002101F" w:rsidP="00E25103">
            <w:pPr>
              <w:tabs>
                <w:tab w:val="left" w:pos="360"/>
              </w:tabs>
              <w:spacing w:after="0" w:line="240" w:lineRule="auto"/>
              <w:jc w:val="center"/>
              <w:rPr>
                <w:rFonts w:ascii="Times New Roman" w:eastAsia="Times New Roman" w:hAnsi="Times New Roman"/>
                <w:sz w:val="24"/>
                <w:szCs w:val="24"/>
              </w:rPr>
            </w:pPr>
            <w:r w:rsidRPr="00371EA1">
              <w:rPr>
                <w:rFonts w:ascii="Times New Roman" w:eastAsia="Times New Roman" w:hAnsi="Times New Roman"/>
                <w:sz w:val="24"/>
                <w:szCs w:val="24"/>
              </w:rPr>
              <w:t>-46</w:t>
            </w:r>
          </w:p>
        </w:tc>
        <w:tc>
          <w:tcPr>
            <w:tcW w:w="2385" w:type="dxa"/>
            <w:vAlign w:val="center"/>
            <w:hideMark/>
          </w:tcPr>
          <w:p w:rsidR="0002101F" w:rsidRPr="00371EA1" w:rsidRDefault="0002101F" w:rsidP="00E25103">
            <w:pPr>
              <w:tabs>
                <w:tab w:val="left" w:pos="360"/>
              </w:tabs>
              <w:spacing w:after="0" w:line="240" w:lineRule="auto"/>
              <w:jc w:val="center"/>
              <w:rPr>
                <w:rFonts w:ascii="Times New Roman" w:hAnsi="Times New Roman"/>
                <w:sz w:val="24"/>
                <w:szCs w:val="24"/>
              </w:rPr>
            </w:pPr>
            <w:r w:rsidRPr="00371EA1">
              <w:rPr>
                <w:rFonts w:ascii="Times New Roman" w:hAnsi="Times New Roman"/>
                <w:sz w:val="24"/>
                <w:szCs w:val="24"/>
              </w:rPr>
              <w:t xml:space="preserve">Right </w:t>
            </w:r>
            <w:proofErr w:type="spellStart"/>
            <w:r w:rsidRPr="00371EA1">
              <w:rPr>
                <w:rFonts w:ascii="Times New Roman" w:hAnsi="Times New Roman"/>
                <w:sz w:val="24"/>
                <w:szCs w:val="24"/>
              </w:rPr>
              <w:t>VIIb</w:t>
            </w:r>
            <w:proofErr w:type="spellEnd"/>
            <w:r w:rsidRPr="00371EA1">
              <w:rPr>
                <w:rFonts w:ascii="Times New Roman" w:hAnsi="Times New Roman"/>
                <w:sz w:val="24"/>
                <w:szCs w:val="24"/>
              </w:rPr>
              <w:t xml:space="preserve"> lobule</w:t>
            </w:r>
          </w:p>
        </w:tc>
      </w:tr>
      <w:tr w:rsidR="0002101F" w:rsidRPr="00371EA1" w:rsidTr="00E25103">
        <w:trPr>
          <w:gridBefore w:val="1"/>
          <w:wBefore w:w="232" w:type="dxa"/>
          <w:trHeight w:val="77"/>
          <w:jc w:val="center"/>
        </w:trPr>
        <w:tc>
          <w:tcPr>
            <w:tcW w:w="934" w:type="dxa"/>
            <w:gridSpan w:val="2"/>
            <w:tcBorders>
              <w:top w:val="nil"/>
              <w:left w:val="nil"/>
              <w:bottom w:val="single" w:sz="12" w:space="0" w:color="000000"/>
              <w:right w:val="nil"/>
            </w:tcBorders>
            <w:vAlign w:val="center"/>
            <w:hideMark/>
          </w:tcPr>
          <w:p w:rsidR="0002101F" w:rsidRPr="00371EA1" w:rsidRDefault="0002101F" w:rsidP="00E25103">
            <w:pPr>
              <w:tabs>
                <w:tab w:val="left" w:pos="360"/>
              </w:tabs>
              <w:spacing w:after="0" w:line="240" w:lineRule="auto"/>
              <w:rPr>
                <w:rFonts w:ascii="Times New Roman" w:eastAsia="Times New Roman" w:hAnsi="Times New Roman"/>
                <w:sz w:val="24"/>
                <w:szCs w:val="24"/>
              </w:rPr>
            </w:pPr>
            <w:r w:rsidRPr="00371EA1">
              <w:rPr>
                <w:rFonts w:ascii="Times New Roman" w:hAnsi="Times New Roman"/>
                <w:sz w:val="24"/>
                <w:szCs w:val="24"/>
              </w:rPr>
              <w:t>3</w:t>
            </w:r>
          </w:p>
        </w:tc>
        <w:tc>
          <w:tcPr>
            <w:tcW w:w="1536" w:type="dxa"/>
            <w:tcBorders>
              <w:top w:val="nil"/>
              <w:left w:val="nil"/>
              <w:bottom w:val="single" w:sz="12" w:space="0" w:color="000000"/>
              <w:right w:val="nil"/>
            </w:tcBorders>
            <w:vAlign w:val="center"/>
            <w:hideMark/>
          </w:tcPr>
          <w:p w:rsidR="0002101F" w:rsidRPr="00371EA1" w:rsidRDefault="0002101F" w:rsidP="00E25103">
            <w:pPr>
              <w:tabs>
                <w:tab w:val="left" w:pos="360"/>
              </w:tabs>
              <w:spacing w:after="0" w:line="240" w:lineRule="auto"/>
              <w:jc w:val="center"/>
              <w:rPr>
                <w:rFonts w:ascii="Times New Roman" w:eastAsia="Times New Roman" w:hAnsi="Times New Roman"/>
                <w:sz w:val="24"/>
                <w:szCs w:val="24"/>
              </w:rPr>
            </w:pPr>
            <w:r w:rsidRPr="00371EA1">
              <w:rPr>
                <w:rFonts w:ascii="Times New Roman" w:eastAsia="Times New Roman" w:hAnsi="Times New Roman"/>
                <w:sz w:val="24"/>
                <w:szCs w:val="24"/>
              </w:rPr>
              <w:t>568</w:t>
            </w:r>
          </w:p>
        </w:tc>
        <w:tc>
          <w:tcPr>
            <w:tcW w:w="986" w:type="dxa"/>
            <w:tcBorders>
              <w:top w:val="nil"/>
              <w:left w:val="nil"/>
              <w:bottom w:val="single" w:sz="12" w:space="0" w:color="000000"/>
              <w:right w:val="nil"/>
            </w:tcBorders>
            <w:vAlign w:val="center"/>
            <w:hideMark/>
          </w:tcPr>
          <w:p w:rsidR="0002101F" w:rsidRPr="00371EA1" w:rsidRDefault="0002101F" w:rsidP="00E25103">
            <w:pPr>
              <w:tabs>
                <w:tab w:val="left" w:pos="360"/>
              </w:tabs>
              <w:spacing w:after="0" w:line="240" w:lineRule="auto"/>
              <w:jc w:val="center"/>
              <w:rPr>
                <w:rFonts w:ascii="Times New Roman" w:eastAsia="Times New Roman" w:hAnsi="Times New Roman"/>
                <w:sz w:val="24"/>
                <w:szCs w:val="24"/>
              </w:rPr>
            </w:pPr>
            <w:r w:rsidRPr="00371EA1">
              <w:rPr>
                <w:rFonts w:ascii="Times New Roman" w:eastAsia="Times New Roman" w:hAnsi="Times New Roman"/>
                <w:sz w:val="24"/>
                <w:szCs w:val="24"/>
              </w:rPr>
              <w:t>-28</w:t>
            </w:r>
          </w:p>
        </w:tc>
        <w:tc>
          <w:tcPr>
            <w:tcW w:w="1003" w:type="dxa"/>
            <w:tcBorders>
              <w:top w:val="nil"/>
              <w:left w:val="nil"/>
              <w:bottom w:val="single" w:sz="12" w:space="0" w:color="000000"/>
              <w:right w:val="nil"/>
            </w:tcBorders>
            <w:vAlign w:val="center"/>
            <w:hideMark/>
          </w:tcPr>
          <w:p w:rsidR="0002101F" w:rsidRPr="00371EA1" w:rsidRDefault="0002101F" w:rsidP="00E25103">
            <w:pPr>
              <w:tabs>
                <w:tab w:val="left" w:pos="360"/>
              </w:tabs>
              <w:spacing w:after="0" w:line="240" w:lineRule="auto"/>
              <w:jc w:val="center"/>
              <w:rPr>
                <w:rFonts w:ascii="Times New Roman" w:eastAsia="Times New Roman" w:hAnsi="Times New Roman"/>
                <w:sz w:val="24"/>
                <w:szCs w:val="24"/>
              </w:rPr>
            </w:pPr>
            <w:r w:rsidRPr="00371EA1">
              <w:rPr>
                <w:rFonts w:ascii="Times New Roman" w:eastAsia="Times New Roman" w:hAnsi="Times New Roman"/>
                <w:sz w:val="24"/>
                <w:szCs w:val="24"/>
              </w:rPr>
              <w:t>-68</w:t>
            </w:r>
          </w:p>
        </w:tc>
        <w:tc>
          <w:tcPr>
            <w:tcW w:w="914" w:type="dxa"/>
            <w:tcBorders>
              <w:top w:val="nil"/>
              <w:left w:val="nil"/>
              <w:bottom w:val="single" w:sz="12" w:space="0" w:color="000000"/>
              <w:right w:val="nil"/>
            </w:tcBorders>
            <w:vAlign w:val="center"/>
            <w:hideMark/>
          </w:tcPr>
          <w:p w:rsidR="0002101F" w:rsidRPr="00371EA1" w:rsidRDefault="0002101F" w:rsidP="00E25103">
            <w:pPr>
              <w:tabs>
                <w:tab w:val="left" w:pos="360"/>
              </w:tabs>
              <w:spacing w:after="0" w:line="240" w:lineRule="auto"/>
              <w:jc w:val="center"/>
              <w:rPr>
                <w:rFonts w:ascii="Times New Roman" w:hAnsi="Times New Roman"/>
                <w:sz w:val="24"/>
                <w:szCs w:val="24"/>
              </w:rPr>
            </w:pPr>
            <w:r w:rsidRPr="00371EA1">
              <w:rPr>
                <w:rFonts w:ascii="Times New Roman" w:eastAsia="Times New Roman" w:hAnsi="Times New Roman"/>
                <w:sz w:val="24"/>
                <w:szCs w:val="24"/>
              </w:rPr>
              <w:t>-46</w:t>
            </w:r>
          </w:p>
        </w:tc>
        <w:tc>
          <w:tcPr>
            <w:tcW w:w="2385" w:type="dxa"/>
            <w:tcBorders>
              <w:top w:val="nil"/>
              <w:left w:val="nil"/>
              <w:bottom w:val="single" w:sz="12" w:space="0" w:color="000000"/>
              <w:right w:val="nil"/>
            </w:tcBorders>
            <w:vAlign w:val="center"/>
            <w:hideMark/>
          </w:tcPr>
          <w:p w:rsidR="0002101F" w:rsidRPr="00371EA1" w:rsidRDefault="0002101F" w:rsidP="00E25103">
            <w:pPr>
              <w:tabs>
                <w:tab w:val="left" w:pos="360"/>
              </w:tabs>
              <w:spacing w:after="0" w:line="240" w:lineRule="auto"/>
              <w:jc w:val="center"/>
              <w:rPr>
                <w:rFonts w:ascii="Times New Roman" w:eastAsia="Times New Roman" w:hAnsi="Times New Roman"/>
                <w:sz w:val="24"/>
                <w:szCs w:val="24"/>
              </w:rPr>
            </w:pPr>
            <w:r w:rsidRPr="00371EA1">
              <w:rPr>
                <w:rFonts w:ascii="Times New Roman" w:hAnsi="Times New Roman"/>
                <w:sz w:val="24"/>
                <w:szCs w:val="24"/>
              </w:rPr>
              <w:t xml:space="preserve">Left </w:t>
            </w:r>
            <w:proofErr w:type="spellStart"/>
            <w:r w:rsidRPr="00371EA1">
              <w:rPr>
                <w:rFonts w:ascii="Times New Roman" w:hAnsi="Times New Roman"/>
                <w:sz w:val="24"/>
                <w:szCs w:val="24"/>
              </w:rPr>
              <w:t>VIIb</w:t>
            </w:r>
            <w:proofErr w:type="spellEnd"/>
            <w:r w:rsidRPr="00371EA1">
              <w:rPr>
                <w:rFonts w:ascii="Times New Roman" w:hAnsi="Times New Roman"/>
                <w:sz w:val="24"/>
                <w:szCs w:val="24"/>
              </w:rPr>
              <w:t xml:space="preserve"> lobule</w:t>
            </w:r>
          </w:p>
        </w:tc>
      </w:tr>
    </w:tbl>
    <w:p w:rsidR="0002101F" w:rsidRPr="00371EA1" w:rsidRDefault="0002101F" w:rsidP="0002101F">
      <w:pPr>
        <w:tabs>
          <w:tab w:val="left" w:pos="360"/>
        </w:tabs>
        <w:spacing w:after="0" w:line="240" w:lineRule="auto"/>
        <w:rPr>
          <w:rFonts w:ascii="Times New Roman" w:hAnsi="Times New Roman"/>
          <w:sz w:val="24"/>
          <w:szCs w:val="24"/>
        </w:rPr>
      </w:pPr>
    </w:p>
    <w:p w:rsidR="0002101F" w:rsidRPr="00371EA1" w:rsidRDefault="0002101F" w:rsidP="0002101F">
      <w:pPr>
        <w:tabs>
          <w:tab w:val="left" w:pos="360"/>
        </w:tabs>
        <w:snapToGrid w:val="0"/>
        <w:spacing w:after="0" w:line="240" w:lineRule="auto"/>
        <w:rPr>
          <w:rFonts w:ascii="Times New Roman" w:hAnsi="Times New Roman"/>
          <w:iCs/>
          <w:sz w:val="24"/>
          <w:szCs w:val="24"/>
          <w:lang w:eastAsia="it-IT"/>
        </w:rPr>
      </w:pPr>
      <w:r w:rsidRPr="00371EA1">
        <w:rPr>
          <w:rFonts w:ascii="Times New Roman" w:hAnsi="Times New Roman"/>
          <w:iCs/>
          <w:sz w:val="24"/>
          <w:szCs w:val="24"/>
          <w:lang w:eastAsia="it-IT"/>
        </w:rPr>
        <w:t xml:space="preserve">Coordinates are expressed in MNI152 standard space. </w:t>
      </w:r>
    </w:p>
    <w:p w:rsidR="0002101F" w:rsidRPr="00371EA1" w:rsidRDefault="0002101F" w:rsidP="0002101F">
      <w:pPr>
        <w:tabs>
          <w:tab w:val="left" w:pos="360"/>
        </w:tabs>
        <w:snapToGrid w:val="0"/>
        <w:spacing w:after="0" w:line="240" w:lineRule="auto"/>
        <w:rPr>
          <w:rFonts w:ascii="Times New Roman" w:hAnsi="Times New Roman"/>
          <w:iCs/>
          <w:sz w:val="24"/>
          <w:szCs w:val="24"/>
          <w:lang w:eastAsia="it-IT"/>
        </w:rPr>
      </w:pPr>
      <w:r w:rsidRPr="00371EA1">
        <w:rPr>
          <w:rFonts w:ascii="Times New Roman" w:hAnsi="Times New Roman"/>
          <w:iCs/>
          <w:sz w:val="24"/>
          <w:szCs w:val="24"/>
          <w:lang w:eastAsia="it-IT"/>
        </w:rPr>
        <w:t>Anatomical area refers to the most probable area according to the Cerebellar Atlas in MNI152 space after normalization with FNIRT.</w:t>
      </w:r>
    </w:p>
    <w:p w:rsidR="0002101F" w:rsidRPr="00371EA1" w:rsidRDefault="0002101F" w:rsidP="0002101F">
      <w:pPr>
        <w:tabs>
          <w:tab w:val="left" w:pos="360"/>
        </w:tabs>
        <w:spacing w:after="0" w:line="480" w:lineRule="auto"/>
        <w:outlineLvl w:val="0"/>
        <w:rPr>
          <w:rFonts w:ascii="Times New Roman" w:hAnsi="Times New Roman"/>
          <w:b/>
          <w:sz w:val="24"/>
          <w:szCs w:val="24"/>
          <w:lang w:eastAsia="it-IT"/>
        </w:rPr>
      </w:pPr>
      <w:r w:rsidRPr="00371EA1">
        <w:rPr>
          <w:rFonts w:ascii="Times New Roman" w:hAnsi="Times New Roman"/>
          <w:b/>
          <w:sz w:val="24"/>
          <w:szCs w:val="24"/>
          <w:lang w:eastAsia="it-IT"/>
        </w:rPr>
        <w:t xml:space="preserve"> </w:t>
      </w:r>
      <w:r w:rsidRPr="00371EA1">
        <w:rPr>
          <w:rFonts w:ascii="Times New Roman" w:hAnsi="Times New Roman"/>
          <w:b/>
          <w:sz w:val="24"/>
          <w:szCs w:val="24"/>
          <w:lang w:eastAsia="it-IT"/>
        </w:rPr>
        <w:br w:type="page"/>
      </w:r>
      <w:r>
        <w:rPr>
          <w:rFonts w:ascii="Times New Roman" w:hAnsi="Times New Roman"/>
          <w:b/>
          <w:iCs/>
          <w:sz w:val="24"/>
          <w:szCs w:val="24"/>
        </w:rPr>
        <w:lastRenderedPageBreak/>
        <w:t>REFERENCES</w:t>
      </w:r>
    </w:p>
    <w:p w:rsidR="0002101F" w:rsidRPr="00537377" w:rsidRDefault="0002101F" w:rsidP="0002101F">
      <w:pPr>
        <w:pStyle w:val="ListParagraph"/>
        <w:numPr>
          <w:ilvl w:val="0"/>
          <w:numId w:val="2"/>
        </w:numPr>
        <w:tabs>
          <w:tab w:val="left" w:pos="720"/>
        </w:tabs>
        <w:spacing w:after="0" w:line="480" w:lineRule="auto"/>
        <w:ind w:hanging="720"/>
        <w:rPr>
          <w:rFonts w:ascii="Times New Roman" w:eastAsia="MS Mincho" w:hAnsi="Times New Roman"/>
          <w:sz w:val="24"/>
          <w:szCs w:val="24"/>
          <w:lang w:eastAsia="ja-JP"/>
        </w:rPr>
      </w:pPr>
      <w:proofErr w:type="spellStart"/>
      <w:r w:rsidRPr="00537377">
        <w:rPr>
          <w:rFonts w:ascii="Times New Roman" w:eastAsia="MS Mincho" w:hAnsi="Times New Roman"/>
          <w:sz w:val="24"/>
          <w:szCs w:val="24"/>
          <w:lang w:eastAsia="ja-JP"/>
        </w:rPr>
        <w:t>Jenkinson</w:t>
      </w:r>
      <w:proofErr w:type="spellEnd"/>
      <w:r w:rsidRPr="00537377">
        <w:rPr>
          <w:rFonts w:ascii="Times New Roman" w:eastAsia="MS Mincho" w:hAnsi="Times New Roman"/>
          <w:sz w:val="24"/>
          <w:szCs w:val="24"/>
          <w:lang w:eastAsia="ja-JP"/>
        </w:rPr>
        <w:t xml:space="preserve"> M, Bannister P, Brady M, Smith S (2002) Improved optimization for the robust and accurate linear registration and motion correction of brain images. </w:t>
      </w:r>
      <w:proofErr w:type="spellStart"/>
      <w:r w:rsidRPr="00537377">
        <w:rPr>
          <w:rFonts w:ascii="Times New Roman" w:eastAsia="MS Mincho" w:hAnsi="Times New Roman"/>
          <w:i/>
          <w:sz w:val="24"/>
          <w:szCs w:val="24"/>
          <w:lang w:eastAsia="ja-JP"/>
        </w:rPr>
        <w:t>Neuroimage</w:t>
      </w:r>
      <w:proofErr w:type="spellEnd"/>
      <w:r w:rsidRPr="00537377">
        <w:rPr>
          <w:rFonts w:ascii="Times New Roman" w:eastAsia="MS Mincho" w:hAnsi="Times New Roman"/>
          <w:sz w:val="24"/>
          <w:szCs w:val="24"/>
          <w:lang w:eastAsia="ja-JP"/>
        </w:rPr>
        <w:t xml:space="preserve"> </w:t>
      </w:r>
      <w:r w:rsidRPr="00537377">
        <w:rPr>
          <w:rFonts w:ascii="Times New Roman" w:eastAsia="MS Mincho" w:hAnsi="Times New Roman"/>
          <w:b/>
          <w:sz w:val="24"/>
          <w:szCs w:val="24"/>
          <w:lang w:eastAsia="ja-JP"/>
        </w:rPr>
        <w:t>17</w:t>
      </w:r>
      <w:r w:rsidRPr="00537377">
        <w:rPr>
          <w:rFonts w:ascii="Times New Roman" w:eastAsia="MS Mincho" w:hAnsi="Times New Roman"/>
          <w:sz w:val="24"/>
          <w:szCs w:val="24"/>
          <w:lang w:eastAsia="ja-JP"/>
        </w:rPr>
        <w:t>, 825-841.</w:t>
      </w:r>
    </w:p>
    <w:p w:rsidR="0002101F" w:rsidRPr="00537377" w:rsidRDefault="0002101F" w:rsidP="0002101F">
      <w:pPr>
        <w:pStyle w:val="ListParagraph"/>
        <w:numPr>
          <w:ilvl w:val="0"/>
          <w:numId w:val="2"/>
        </w:numPr>
        <w:tabs>
          <w:tab w:val="left" w:pos="720"/>
        </w:tabs>
        <w:spacing w:after="0" w:line="480" w:lineRule="auto"/>
        <w:ind w:hanging="720"/>
        <w:rPr>
          <w:rFonts w:ascii="Times New Roman" w:eastAsia="MS Mincho" w:hAnsi="Times New Roman"/>
          <w:sz w:val="24"/>
          <w:szCs w:val="24"/>
          <w:lang w:eastAsia="ja-JP"/>
        </w:rPr>
      </w:pPr>
      <w:proofErr w:type="spellStart"/>
      <w:r w:rsidRPr="00537377">
        <w:rPr>
          <w:rFonts w:ascii="Times New Roman" w:eastAsia="MS Mincho" w:hAnsi="Times New Roman"/>
          <w:sz w:val="24"/>
          <w:szCs w:val="24"/>
          <w:lang w:eastAsia="ja-JP"/>
        </w:rPr>
        <w:t>Lv</w:t>
      </w:r>
      <w:proofErr w:type="spellEnd"/>
      <w:r w:rsidRPr="00537377">
        <w:rPr>
          <w:rFonts w:ascii="Times New Roman" w:eastAsia="MS Mincho" w:hAnsi="Times New Roman"/>
          <w:sz w:val="24"/>
          <w:szCs w:val="24"/>
          <w:lang w:eastAsia="ja-JP"/>
        </w:rPr>
        <w:t xml:space="preserve"> Y, Margulies DS, </w:t>
      </w:r>
      <w:proofErr w:type="spellStart"/>
      <w:r w:rsidRPr="00537377">
        <w:rPr>
          <w:rFonts w:ascii="Times New Roman" w:eastAsia="MS Mincho" w:hAnsi="Times New Roman"/>
          <w:sz w:val="24"/>
          <w:szCs w:val="24"/>
          <w:lang w:eastAsia="ja-JP"/>
        </w:rPr>
        <w:t>Villringer</w:t>
      </w:r>
      <w:proofErr w:type="spellEnd"/>
      <w:r w:rsidRPr="00537377">
        <w:rPr>
          <w:rFonts w:ascii="Times New Roman" w:eastAsia="MS Mincho" w:hAnsi="Times New Roman"/>
          <w:sz w:val="24"/>
          <w:szCs w:val="24"/>
          <w:lang w:eastAsia="ja-JP"/>
        </w:rPr>
        <w:t xml:space="preserve"> A, </w:t>
      </w:r>
      <w:proofErr w:type="spellStart"/>
      <w:r w:rsidRPr="00537377">
        <w:rPr>
          <w:rFonts w:ascii="Times New Roman" w:eastAsia="MS Mincho" w:hAnsi="Times New Roman"/>
          <w:sz w:val="24"/>
          <w:szCs w:val="24"/>
          <w:lang w:eastAsia="ja-JP"/>
        </w:rPr>
        <w:t>Zang</w:t>
      </w:r>
      <w:proofErr w:type="spellEnd"/>
      <w:r w:rsidRPr="00537377">
        <w:rPr>
          <w:rFonts w:ascii="Times New Roman" w:eastAsia="MS Mincho" w:hAnsi="Times New Roman"/>
          <w:sz w:val="24"/>
          <w:szCs w:val="24"/>
          <w:lang w:eastAsia="ja-JP"/>
        </w:rPr>
        <w:t xml:space="preserve"> YF (2013) Effects of finger tapping frequency on regional homogeneity of sensorimotor cortex. </w:t>
      </w:r>
      <w:proofErr w:type="spellStart"/>
      <w:r w:rsidRPr="00537377">
        <w:rPr>
          <w:rFonts w:ascii="Times New Roman" w:eastAsia="MS Mincho" w:hAnsi="Times New Roman"/>
          <w:i/>
          <w:sz w:val="24"/>
          <w:szCs w:val="24"/>
          <w:lang w:eastAsia="ja-JP"/>
        </w:rPr>
        <w:t>PLoS</w:t>
      </w:r>
      <w:proofErr w:type="spellEnd"/>
      <w:r w:rsidRPr="00537377">
        <w:rPr>
          <w:rFonts w:ascii="Times New Roman" w:eastAsia="MS Mincho" w:hAnsi="Times New Roman"/>
          <w:i/>
          <w:sz w:val="24"/>
          <w:szCs w:val="24"/>
          <w:lang w:eastAsia="ja-JP"/>
        </w:rPr>
        <w:t xml:space="preserve"> One</w:t>
      </w:r>
      <w:r w:rsidRPr="00537377">
        <w:rPr>
          <w:rFonts w:ascii="Times New Roman" w:eastAsia="MS Mincho" w:hAnsi="Times New Roman"/>
          <w:sz w:val="24"/>
          <w:szCs w:val="24"/>
          <w:lang w:eastAsia="ja-JP"/>
        </w:rPr>
        <w:t xml:space="preserve"> </w:t>
      </w:r>
      <w:r w:rsidRPr="00537377">
        <w:rPr>
          <w:rFonts w:ascii="Times New Roman" w:eastAsia="MS Mincho" w:hAnsi="Times New Roman"/>
          <w:b/>
          <w:sz w:val="24"/>
          <w:szCs w:val="24"/>
          <w:lang w:eastAsia="ja-JP"/>
        </w:rPr>
        <w:t>8</w:t>
      </w:r>
      <w:r w:rsidRPr="00537377">
        <w:rPr>
          <w:rFonts w:ascii="Times New Roman" w:eastAsia="MS Mincho" w:hAnsi="Times New Roman"/>
          <w:sz w:val="24"/>
          <w:szCs w:val="24"/>
          <w:lang w:eastAsia="ja-JP"/>
        </w:rPr>
        <w:t>, e64115.</w:t>
      </w:r>
    </w:p>
    <w:p w:rsidR="0002101F" w:rsidRPr="00537377" w:rsidRDefault="0002101F" w:rsidP="0002101F">
      <w:pPr>
        <w:pStyle w:val="ListParagraph"/>
        <w:numPr>
          <w:ilvl w:val="0"/>
          <w:numId w:val="2"/>
        </w:numPr>
        <w:tabs>
          <w:tab w:val="left" w:pos="720"/>
        </w:tabs>
        <w:spacing w:after="0" w:line="480" w:lineRule="auto"/>
        <w:ind w:hanging="720"/>
        <w:rPr>
          <w:rFonts w:ascii="Times New Roman" w:eastAsia="MS Mincho" w:hAnsi="Times New Roman"/>
          <w:sz w:val="24"/>
          <w:szCs w:val="24"/>
          <w:lang w:eastAsia="ja-JP"/>
        </w:rPr>
      </w:pPr>
      <w:proofErr w:type="spellStart"/>
      <w:r w:rsidRPr="00537377">
        <w:rPr>
          <w:rFonts w:ascii="Times New Roman" w:eastAsia="MS Mincho" w:hAnsi="Times New Roman"/>
          <w:sz w:val="24"/>
          <w:szCs w:val="24"/>
          <w:lang w:eastAsia="ja-JP"/>
        </w:rPr>
        <w:t>Avants</w:t>
      </w:r>
      <w:proofErr w:type="spellEnd"/>
      <w:r w:rsidRPr="00537377">
        <w:rPr>
          <w:rFonts w:ascii="Times New Roman" w:eastAsia="MS Mincho" w:hAnsi="Times New Roman"/>
          <w:sz w:val="24"/>
          <w:szCs w:val="24"/>
          <w:lang w:eastAsia="ja-JP"/>
        </w:rPr>
        <w:t xml:space="preserve"> BB, </w:t>
      </w:r>
      <w:proofErr w:type="spellStart"/>
      <w:r w:rsidRPr="00537377">
        <w:rPr>
          <w:rFonts w:ascii="Times New Roman" w:eastAsia="MS Mincho" w:hAnsi="Times New Roman"/>
          <w:sz w:val="24"/>
          <w:szCs w:val="24"/>
          <w:lang w:eastAsia="ja-JP"/>
        </w:rPr>
        <w:t>Tustison</w:t>
      </w:r>
      <w:proofErr w:type="spellEnd"/>
      <w:r w:rsidRPr="00537377">
        <w:rPr>
          <w:rFonts w:ascii="Times New Roman" w:eastAsia="MS Mincho" w:hAnsi="Times New Roman"/>
          <w:sz w:val="24"/>
          <w:szCs w:val="24"/>
          <w:lang w:eastAsia="ja-JP"/>
        </w:rPr>
        <w:t xml:space="preserve"> NJ, Song G, Cook PA, Klein A, Gee JC (2011) A reproducible evaluation of ANTs similarity metric performance in brain image registration. </w:t>
      </w:r>
      <w:proofErr w:type="spellStart"/>
      <w:r w:rsidRPr="00537377">
        <w:rPr>
          <w:rFonts w:ascii="Times New Roman" w:eastAsia="MS Mincho" w:hAnsi="Times New Roman"/>
          <w:i/>
          <w:sz w:val="24"/>
          <w:szCs w:val="24"/>
          <w:lang w:eastAsia="ja-JP"/>
        </w:rPr>
        <w:t>Neuroimage</w:t>
      </w:r>
      <w:proofErr w:type="spellEnd"/>
      <w:r w:rsidRPr="00537377">
        <w:rPr>
          <w:rFonts w:ascii="Times New Roman" w:eastAsia="MS Mincho" w:hAnsi="Times New Roman"/>
          <w:sz w:val="24"/>
          <w:szCs w:val="24"/>
          <w:lang w:eastAsia="ja-JP"/>
        </w:rPr>
        <w:t xml:space="preserve"> </w:t>
      </w:r>
      <w:r w:rsidRPr="00537377">
        <w:rPr>
          <w:rFonts w:ascii="Times New Roman" w:eastAsia="MS Mincho" w:hAnsi="Times New Roman"/>
          <w:b/>
          <w:sz w:val="24"/>
          <w:szCs w:val="24"/>
          <w:lang w:eastAsia="ja-JP"/>
        </w:rPr>
        <w:t>54</w:t>
      </w:r>
      <w:r w:rsidRPr="00537377">
        <w:rPr>
          <w:rFonts w:ascii="Times New Roman" w:eastAsia="MS Mincho" w:hAnsi="Times New Roman"/>
          <w:sz w:val="24"/>
          <w:szCs w:val="24"/>
          <w:lang w:eastAsia="ja-JP"/>
        </w:rPr>
        <w:t>, 2033-2044.</w:t>
      </w:r>
    </w:p>
    <w:p w:rsidR="0002101F" w:rsidRPr="00537377" w:rsidRDefault="0002101F" w:rsidP="0002101F">
      <w:pPr>
        <w:pStyle w:val="ListParagraph"/>
        <w:numPr>
          <w:ilvl w:val="0"/>
          <w:numId w:val="2"/>
        </w:numPr>
        <w:tabs>
          <w:tab w:val="left" w:pos="720"/>
        </w:tabs>
        <w:spacing w:after="0" w:line="480" w:lineRule="auto"/>
        <w:ind w:hanging="720"/>
        <w:rPr>
          <w:rFonts w:ascii="Times New Roman" w:eastAsia="MS Mincho" w:hAnsi="Times New Roman"/>
          <w:sz w:val="24"/>
          <w:szCs w:val="24"/>
          <w:lang w:eastAsia="ja-JP"/>
        </w:rPr>
      </w:pPr>
      <w:r w:rsidRPr="00537377">
        <w:rPr>
          <w:rFonts w:ascii="Times New Roman" w:eastAsia="MS Mincho" w:hAnsi="Times New Roman"/>
          <w:sz w:val="24"/>
          <w:szCs w:val="24"/>
          <w:lang w:eastAsia="ja-JP"/>
        </w:rPr>
        <w:t>Chao-</w:t>
      </w:r>
      <w:proofErr w:type="spellStart"/>
      <w:r w:rsidRPr="00537377">
        <w:rPr>
          <w:rFonts w:ascii="Times New Roman" w:eastAsia="MS Mincho" w:hAnsi="Times New Roman"/>
          <w:sz w:val="24"/>
          <w:szCs w:val="24"/>
          <w:lang w:eastAsia="ja-JP"/>
        </w:rPr>
        <w:t>Gan</w:t>
      </w:r>
      <w:proofErr w:type="spellEnd"/>
      <w:r w:rsidRPr="00537377">
        <w:rPr>
          <w:rFonts w:ascii="Times New Roman" w:eastAsia="MS Mincho" w:hAnsi="Times New Roman"/>
          <w:sz w:val="24"/>
          <w:szCs w:val="24"/>
          <w:lang w:eastAsia="ja-JP"/>
        </w:rPr>
        <w:t xml:space="preserve"> Y, Yu-</w:t>
      </w:r>
      <w:proofErr w:type="spellStart"/>
      <w:r w:rsidRPr="00537377">
        <w:rPr>
          <w:rFonts w:ascii="Times New Roman" w:eastAsia="MS Mincho" w:hAnsi="Times New Roman"/>
          <w:sz w:val="24"/>
          <w:szCs w:val="24"/>
          <w:lang w:eastAsia="ja-JP"/>
        </w:rPr>
        <w:t>Feng</w:t>
      </w:r>
      <w:proofErr w:type="spellEnd"/>
      <w:r w:rsidRPr="00537377">
        <w:rPr>
          <w:rFonts w:ascii="Times New Roman" w:eastAsia="MS Mincho" w:hAnsi="Times New Roman"/>
          <w:sz w:val="24"/>
          <w:szCs w:val="24"/>
          <w:lang w:eastAsia="ja-JP"/>
        </w:rPr>
        <w:t xml:space="preserve"> Z (2010) DPARSF: A MATLAB </w:t>
      </w:r>
      <w:r>
        <w:rPr>
          <w:rFonts w:ascii="Times New Roman" w:eastAsia="MS Mincho" w:hAnsi="Times New Roman"/>
          <w:sz w:val="24"/>
          <w:szCs w:val="24"/>
          <w:lang w:eastAsia="ja-JP"/>
        </w:rPr>
        <w:t>t</w:t>
      </w:r>
      <w:r w:rsidRPr="00537377">
        <w:rPr>
          <w:rFonts w:ascii="Times New Roman" w:eastAsia="MS Mincho" w:hAnsi="Times New Roman"/>
          <w:sz w:val="24"/>
          <w:szCs w:val="24"/>
          <w:lang w:eastAsia="ja-JP"/>
        </w:rPr>
        <w:t>oolbox for "</w:t>
      </w:r>
      <w:r>
        <w:rPr>
          <w:rFonts w:ascii="Times New Roman" w:eastAsia="MS Mincho" w:hAnsi="Times New Roman"/>
          <w:sz w:val="24"/>
          <w:szCs w:val="24"/>
          <w:lang w:eastAsia="ja-JP"/>
        </w:rPr>
        <w:t>p</w:t>
      </w:r>
      <w:r w:rsidRPr="00537377">
        <w:rPr>
          <w:rFonts w:ascii="Times New Roman" w:eastAsia="MS Mincho" w:hAnsi="Times New Roman"/>
          <w:sz w:val="24"/>
          <w:szCs w:val="24"/>
          <w:lang w:eastAsia="ja-JP"/>
        </w:rPr>
        <w:t xml:space="preserve">ipeline" </w:t>
      </w:r>
      <w:r>
        <w:rPr>
          <w:rFonts w:ascii="Times New Roman" w:eastAsia="MS Mincho" w:hAnsi="Times New Roman"/>
          <w:sz w:val="24"/>
          <w:szCs w:val="24"/>
          <w:lang w:eastAsia="ja-JP"/>
        </w:rPr>
        <w:t>d</w:t>
      </w:r>
      <w:r w:rsidRPr="00537377">
        <w:rPr>
          <w:rFonts w:ascii="Times New Roman" w:eastAsia="MS Mincho" w:hAnsi="Times New Roman"/>
          <w:sz w:val="24"/>
          <w:szCs w:val="24"/>
          <w:lang w:eastAsia="ja-JP"/>
        </w:rPr>
        <w:t xml:space="preserve">ata </w:t>
      </w:r>
      <w:r>
        <w:rPr>
          <w:rFonts w:ascii="Times New Roman" w:eastAsia="MS Mincho" w:hAnsi="Times New Roman"/>
          <w:sz w:val="24"/>
          <w:szCs w:val="24"/>
          <w:lang w:eastAsia="ja-JP"/>
        </w:rPr>
        <w:t>a</w:t>
      </w:r>
      <w:r w:rsidRPr="00537377">
        <w:rPr>
          <w:rFonts w:ascii="Times New Roman" w:eastAsia="MS Mincho" w:hAnsi="Times New Roman"/>
          <w:sz w:val="24"/>
          <w:szCs w:val="24"/>
          <w:lang w:eastAsia="ja-JP"/>
        </w:rPr>
        <w:t xml:space="preserve">nalysis of </w:t>
      </w:r>
      <w:r>
        <w:rPr>
          <w:rFonts w:ascii="Times New Roman" w:eastAsia="MS Mincho" w:hAnsi="Times New Roman"/>
          <w:sz w:val="24"/>
          <w:szCs w:val="24"/>
          <w:lang w:eastAsia="ja-JP"/>
        </w:rPr>
        <w:t>r</w:t>
      </w:r>
      <w:r w:rsidRPr="00537377">
        <w:rPr>
          <w:rFonts w:ascii="Times New Roman" w:eastAsia="MS Mincho" w:hAnsi="Times New Roman"/>
          <w:sz w:val="24"/>
          <w:szCs w:val="24"/>
          <w:lang w:eastAsia="ja-JP"/>
        </w:rPr>
        <w:t>esting-</w:t>
      </w:r>
      <w:r>
        <w:rPr>
          <w:rFonts w:ascii="Times New Roman" w:eastAsia="MS Mincho" w:hAnsi="Times New Roman"/>
          <w:sz w:val="24"/>
          <w:szCs w:val="24"/>
          <w:lang w:eastAsia="ja-JP"/>
        </w:rPr>
        <w:t>s</w:t>
      </w:r>
      <w:r w:rsidRPr="00537377">
        <w:rPr>
          <w:rFonts w:ascii="Times New Roman" w:eastAsia="MS Mincho" w:hAnsi="Times New Roman"/>
          <w:sz w:val="24"/>
          <w:szCs w:val="24"/>
          <w:lang w:eastAsia="ja-JP"/>
        </w:rPr>
        <w:t xml:space="preserve">tate fMRI. </w:t>
      </w:r>
      <w:r w:rsidRPr="00537377">
        <w:rPr>
          <w:rFonts w:ascii="Times New Roman" w:eastAsia="MS Mincho" w:hAnsi="Times New Roman"/>
          <w:i/>
          <w:sz w:val="24"/>
          <w:szCs w:val="24"/>
          <w:lang w:eastAsia="ja-JP"/>
        </w:rPr>
        <w:t xml:space="preserve">Front </w:t>
      </w:r>
      <w:proofErr w:type="spellStart"/>
      <w:r w:rsidRPr="00537377">
        <w:rPr>
          <w:rFonts w:ascii="Times New Roman" w:eastAsia="MS Mincho" w:hAnsi="Times New Roman"/>
          <w:i/>
          <w:sz w:val="24"/>
          <w:szCs w:val="24"/>
          <w:lang w:eastAsia="ja-JP"/>
        </w:rPr>
        <w:t>Syst</w:t>
      </w:r>
      <w:proofErr w:type="spellEnd"/>
      <w:r w:rsidRPr="00537377">
        <w:rPr>
          <w:rFonts w:ascii="Times New Roman" w:eastAsia="MS Mincho" w:hAnsi="Times New Roman"/>
          <w:i/>
          <w:sz w:val="24"/>
          <w:szCs w:val="24"/>
          <w:lang w:eastAsia="ja-JP"/>
        </w:rPr>
        <w:t xml:space="preserve"> </w:t>
      </w:r>
      <w:proofErr w:type="spellStart"/>
      <w:r w:rsidRPr="00537377">
        <w:rPr>
          <w:rFonts w:ascii="Times New Roman" w:eastAsia="MS Mincho" w:hAnsi="Times New Roman"/>
          <w:i/>
          <w:sz w:val="24"/>
          <w:szCs w:val="24"/>
          <w:lang w:eastAsia="ja-JP"/>
        </w:rPr>
        <w:t>Neurosci</w:t>
      </w:r>
      <w:proofErr w:type="spellEnd"/>
      <w:r w:rsidRPr="00537377">
        <w:rPr>
          <w:rFonts w:ascii="Times New Roman" w:eastAsia="MS Mincho" w:hAnsi="Times New Roman"/>
          <w:sz w:val="24"/>
          <w:szCs w:val="24"/>
          <w:lang w:eastAsia="ja-JP"/>
        </w:rPr>
        <w:t xml:space="preserve"> </w:t>
      </w:r>
      <w:r w:rsidRPr="00537377">
        <w:rPr>
          <w:rFonts w:ascii="Times New Roman" w:eastAsia="MS Mincho" w:hAnsi="Times New Roman"/>
          <w:b/>
          <w:sz w:val="24"/>
          <w:szCs w:val="24"/>
          <w:lang w:eastAsia="ja-JP"/>
        </w:rPr>
        <w:t>4</w:t>
      </w:r>
      <w:r w:rsidRPr="00537377">
        <w:rPr>
          <w:rFonts w:ascii="Times New Roman" w:eastAsia="MS Mincho" w:hAnsi="Times New Roman"/>
          <w:sz w:val="24"/>
          <w:szCs w:val="24"/>
          <w:lang w:eastAsia="ja-JP"/>
        </w:rPr>
        <w:t>, 13.</w:t>
      </w:r>
    </w:p>
    <w:p w:rsidR="0002101F" w:rsidRPr="00537377" w:rsidRDefault="0002101F" w:rsidP="0002101F">
      <w:pPr>
        <w:pStyle w:val="ListParagraph"/>
        <w:numPr>
          <w:ilvl w:val="0"/>
          <w:numId w:val="2"/>
        </w:numPr>
        <w:tabs>
          <w:tab w:val="left" w:pos="720"/>
        </w:tabs>
        <w:spacing w:after="0" w:line="480" w:lineRule="auto"/>
        <w:ind w:hanging="720"/>
        <w:rPr>
          <w:rFonts w:ascii="Times New Roman" w:eastAsia="MS Mincho" w:hAnsi="Times New Roman"/>
          <w:sz w:val="24"/>
          <w:szCs w:val="24"/>
          <w:lang w:eastAsia="ja-JP"/>
        </w:rPr>
      </w:pPr>
      <w:proofErr w:type="spellStart"/>
      <w:r w:rsidRPr="00537377">
        <w:rPr>
          <w:rFonts w:ascii="Times New Roman" w:eastAsia="MS Mincho" w:hAnsi="Times New Roman"/>
          <w:sz w:val="24"/>
          <w:szCs w:val="24"/>
          <w:lang w:eastAsia="ja-JP"/>
        </w:rPr>
        <w:t>Zang</w:t>
      </w:r>
      <w:proofErr w:type="spellEnd"/>
      <w:r w:rsidRPr="00537377">
        <w:rPr>
          <w:rFonts w:ascii="Times New Roman" w:eastAsia="MS Mincho" w:hAnsi="Times New Roman"/>
          <w:sz w:val="24"/>
          <w:szCs w:val="24"/>
          <w:lang w:eastAsia="ja-JP"/>
        </w:rPr>
        <w:t xml:space="preserve"> Y, Jiang T, Lu Y, He Y, </w:t>
      </w:r>
      <w:proofErr w:type="spellStart"/>
      <w:r w:rsidRPr="00537377">
        <w:rPr>
          <w:rFonts w:ascii="Times New Roman" w:eastAsia="MS Mincho" w:hAnsi="Times New Roman"/>
          <w:sz w:val="24"/>
          <w:szCs w:val="24"/>
          <w:lang w:eastAsia="ja-JP"/>
        </w:rPr>
        <w:t>Tian</w:t>
      </w:r>
      <w:proofErr w:type="spellEnd"/>
      <w:r w:rsidRPr="00537377">
        <w:rPr>
          <w:rFonts w:ascii="Times New Roman" w:eastAsia="MS Mincho" w:hAnsi="Times New Roman"/>
          <w:sz w:val="24"/>
          <w:szCs w:val="24"/>
          <w:lang w:eastAsia="ja-JP"/>
        </w:rPr>
        <w:t xml:space="preserve"> L (2004) Regional homogeneity approach to fMRI data analysis. </w:t>
      </w:r>
      <w:proofErr w:type="spellStart"/>
      <w:r w:rsidRPr="00537377">
        <w:rPr>
          <w:rFonts w:ascii="Times New Roman" w:eastAsia="MS Mincho" w:hAnsi="Times New Roman"/>
          <w:i/>
          <w:sz w:val="24"/>
          <w:szCs w:val="24"/>
          <w:lang w:eastAsia="ja-JP"/>
        </w:rPr>
        <w:t>Neuroimage</w:t>
      </w:r>
      <w:proofErr w:type="spellEnd"/>
      <w:r w:rsidRPr="00537377">
        <w:rPr>
          <w:rFonts w:ascii="Times New Roman" w:eastAsia="MS Mincho" w:hAnsi="Times New Roman"/>
          <w:sz w:val="24"/>
          <w:szCs w:val="24"/>
          <w:lang w:eastAsia="ja-JP"/>
        </w:rPr>
        <w:t xml:space="preserve"> </w:t>
      </w:r>
      <w:r w:rsidRPr="00537377">
        <w:rPr>
          <w:rFonts w:ascii="Times New Roman" w:eastAsia="MS Mincho" w:hAnsi="Times New Roman"/>
          <w:b/>
          <w:sz w:val="24"/>
          <w:szCs w:val="24"/>
          <w:lang w:eastAsia="ja-JP"/>
        </w:rPr>
        <w:t>22</w:t>
      </w:r>
      <w:r w:rsidRPr="00537377">
        <w:rPr>
          <w:rFonts w:ascii="Times New Roman" w:eastAsia="MS Mincho" w:hAnsi="Times New Roman"/>
          <w:sz w:val="24"/>
          <w:szCs w:val="24"/>
          <w:lang w:eastAsia="ja-JP"/>
        </w:rPr>
        <w:t>, 394-400.</w:t>
      </w:r>
    </w:p>
    <w:p w:rsidR="0002101F" w:rsidRPr="00537377" w:rsidRDefault="0002101F" w:rsidP="0002101F">
      <w:pPr>
        <w:pStyle w:val="ListParagraph"/>
        <w:numPr>
          <w:ilvl w:val="0"/>
          <w:numId w:val="2"/>
        </w:numPr>
        <w:tabs>
          <w:tab w:val="left" w:pos="720"/>
        </w:tabs>
        <w:spacing w:after="0" w:line="480" w:lineRule="auto"/>
        <w:ind w:hanging="720"/>
        <w:rPr>
          <w:rFonts w:ascii="Times New Roman" w:eastAsia="MS Mincho" w:hAnsi="Times New Roman"/>
          <w:sz w:val="24"/>
          <w:szCs w:val="24"/>
          <w:lang w:eastAsia="ja-JP"/>
        </w:rPr>
      </w:pPr>
      <w:r w:rsidRPr="00537377">
        <w:rPr>
          <w:rFonts w:ascii="Times New Roman" w:eastAsia="MS Mincho" w:hAnsi="Times New Roman"/>
          <w:sz w:val="24"/>
          <w:szCs w:val="24"/>
          <w:lang w:eastAsia="ja-JP"/>
        </w:rPr>
        <w:t xml:space="preserve">Smith SM, Nichols TE (2009) Threshold-free cluster enhancement: </w:t>
      </w:r>
      <w:r>
        <w:rPr>
          <w:rFonts w:ascii="Times New Roman" w:eastAsia="MS Mincho" w:hAnsi="Times New Roman"/>
          <w:sz w:val="24"/>
          <w:szCs w:val="24"/>
          <w:lang w:eastAsia="ja-JP"/>
        </w:rPr>
        <w:t>A</w:t>
      </w:r>
      <w:r w:rsidRPr="00537377">
        <w:rPr>
          <w:rFonts w:ascii="Times New Roman" w:eastAsia="MS Mincho" w:hAnsi="Times New Roman"/>
          <w:sz w:val="24"/>
          <w:szCs w:val="24"/>
          <w:lang w:eastAsia="ja-JP"/>
        </w:rPr>
        <w:t xml:space="preserve">ddressing problems of smoothing, threshold dependence and </w:t>
      </w:r>
      <w:proofErr w:type="spellStart"/>
      <w:r w:rsidRPr="00537377">
        <w:rPr>
          <w:rFonts w:ascii="Times New Roman" w:eastAsia="MS Mincho" w:hAnsi="Times New Roman"/>
          <w:sz w:val="24"/>
          <w:szCs w:val="24"/>
          <w:lang w:eastAsia="ja-JP"/>
        </w:rPr>
        <w:t>localisation</w:t>
      </w:r>
      <w:proofErr w:type="spellEnd"/>
      <w:r w:rsidRPr="00537377">
        <w:rPr>
          <w:rFonts w:ascii="Times New Roman" w:eastAsia="MS Mincho" w:hAnsi="Times New Roman"/>
          <w:sz w:val="24"/>
          <w:szCs w:val="24"/>
          <w:lang w:eastAsia="ja-JP"/>
        </w:rPr>
        <w:t xml:space="preserve"> in cluster inference. </w:t>
      </w:r>
      <w:proofErr w:type="spellStart"/>
      <w:r w:rsidRPr="00537377">
        <w:rPr>
          <w:rFonts w:ascii="Times New Roman" w:eastAsia="MS Mincho" w:hAnsi="Times New Roman"/>
          <w:i/>
          <w:sz w:val="24"/>
          <w:szCs w:val="24"/>
          <w:lang w:eastAsia="ja-JP"/>
        </w:rPr>
        <w:t>Neuroimage</w:t>
      </w:r>
      <w:proofErr w:type="spellEnd"/>
      <w:r w:rsidRPr="00537377">
        <w:rPr>
          <w:rFonts w:ascii="Times New Roman" w:eastAsia="MS Mincho" w:hAnsi="Times New Roman"/>
          <w:sz w:val="24"/>
          <w:szCs w:val="24"/>
          <w:lang w:eastAsia="ja-JP"/>
        </w:rPr>
        <w:t xml:space="preserve"> </w:t>
      </w:r>
      <w:r w:rsidRPr="00537377">
        <w:rPr>
          <w:rFonts w:ascii="Times New Roman" w:eastAsia="MS Mincho" w:hAnsi="Times New Roman"/>
          <w:b/>
          <w:sz w:val="24"/>
          <w:szCs w:val="24"/>
          <w:lang w:eastAsia="ja-JP"/>
        </w:rPr>
        <w:t>44</w:t>
      </w:r>
      <w:r w:rsidRPr="00537377">
        <w:rPr>
          <w:rFonts w:ascii="Times New Roman" w:eastAsia="MS Mincho" w:hAnsi="Times New Roman"/>
          <w:sz w:val="24"/>
          <w:szCs w:val="24"/>
          <w:lang w:eastAsia="ja-JP"/>
        </w:rPr>
        <w:t>, 83-98.</w:t>
      </w:r>
    </w:p>
    <w:p w:rsidR="0002101F" w:rsidRPr="00537377" w:rsidRDefault="0002101F" w:rsidP="0002101F">
      <w:pPr>
        <w:pStyle w:val="ListParagraph"/>
        <w:numPr>
          <w:ilvl w:val="0"/>
          <w:numId w:val="2"/>
        </w:numPr>
        <w:tabs>
          <w:tab w:val="left" w:pos="720"/>
        </w:tabs>
        <w:spacing w:after="0" w:line="480" w:lineRule="auto"/>
        <w:ind w:hanging="720"/>
        <w:rPr>
          <w:rFonts w:ascii="Times New Roman" w:eastAsia="MS Mincho" w:hAnsi="Times New Roman"/>
          <w:sz w:val="24"/>
          <w:szCs w:val="24"/>
          <w:lang w:eastAsia="ja-JP"/>
        </w:rPr>
      </w:pPr>
      <w:r w:rsidRPr="00537377">
        <w:rPr>
          <w:rFonts w:ascii="Times New Roman" w:eastAsia="MS Mincho" w:hAnsi="Times New Roman"/>
          <w:sz w:val="24"/>
          <w:szCs w:val="24"/>
          <w:lang w:eastAsia="ja-JP"/>
        </w:rPr>
        <w:t xml:space="preserve">Holmes AP, Blair RC, Watson JD, Ford I (1996) </w:t>
      </w:r>
      <w:proofErr w:type="gramStart"/>
      <w:r w:rsidRPr="00537377">
        <w:rPr>
          <w:rFonts w:ascii="Times New Roman" w:eastAsia="MS Mincho" w:hAnsi="Times New Roman"/>
          <w:sz w:val="24"/>
          <w:szCs w:val="24"/>
          <w:lang w:eastAsia="ja-JP"/>
        </w:rPr>
        <w:t>Nonparametric</w:t>
      </w:r>
      <w:proofErr w:type="gramEnd"/>
      <w:r w:rsidRPr="00537377">
        <w:rPr>
          <w:rFonts w:ascii="Times New Roman" w:eastAsia="MS Mincho" w:hAnsi="Times New Roman"/>
          <w:sz w:val="24"/>
          <w:szCs w:val="24"/>
          <w:lang w:eastAsia="ja-JP"/>
        </w:rPr>
        <w:t xml:space="preserve"> analysis of statistic images from functional mapping experiments. </w:t>
      </w:r>
      <w:r w:rsidRPr="00537377">
        <w:rPr>
          <w:rFonts w:ascii="Times New Roman" w:eastAsia="MS Mincho" w:hAnsi="Times New Roman"/>
          <w:i/>
          <w:sz w:val="24"/>
          <w:szCs w:val="24"/>
          <w:lang w:eastAsia="ja-JP"/>
        </w:rPr>
        <w:t xml:space="preserve">J </w:t>
      </w:r>
      <w:proofErr w:type="spellStart"/>
      <w:r w:rsidRPr="00537377">
        <w:rPr>
          <w:rFonts w:ascii="Times New Roman" w:eastAsia="MS Mincho" w:hAnsi="Times New Roman"/>
          <w:i/>
          <w:sz w:val="24"/>
          <w:szCs w:val="24"/>
          <w:lang w:eastAsia="ja-JP"/>
        </w:rPr>
        <w:t>Cereb</w:t>
      </w:r>
      <w:proofErr w:type="spellEnd"/>
      <w:r w:rsidRPr="00537377">
        <w:rPr>
          <w:rFonts w:ascii="Times New Roman" w:eastAsia="MS Mincho" w:hAnsi="Times New Roman"/>
          <w:i/>
          <w:sz w:val="24"/>
          <w:szCs w:val="24"/>
          <w:lang w:eastAsia="ja-JP"/>
        </w:rPr>
        <w:t xml:space="preserve"> Blood Flow </w:t>
      </w:r>
      <w:proofErr w:type="spellStart"/>
      <w:r w:rsidRPr="00537377">
        <w:rPr>
          <w:rFonts w:ascii="Times New Roman" w:eastAsia="MS Mincho" w:hAnsi="Times New Roman"/>
          <w:i/>
          <w:sz w:val="24"/>
          <w:szCs w:val="24"/>
          <w:lang w:eastAsia="ja-JP"/>
        </w:rPr>
        <w:t>Metab</w:t>
      </w:r>
      <w:proofErr w:type="spellEnd"/>
      <w:r w:rsidRPr="00537377">
        <w:rPr>
          <w:rFonts w:ascii="Times New Roman" w:eastAsia="MS Mincho" w:hAnsi="Times New Roman"/>
          <w:sz w:val="24"/>
          <w:szCs w:val="24"/>
          <w:lang w:eastAsia="ja-JP"/>
        </w:rPr>
        <w:t xml:space="preserve"> </w:t>
      </w:r>
      <w:r w:rsidRPr="00537377">
        <w:rPr>
          <w:rFonts w:ascii="Times New Roman" w:eastAsia="MS Mincho" w:hAnsi="Times New Roman"/>
          <w:b/>
          <w:sz w:val="24"/>
          <w:szCs w:val="24"/>
          <w:lang w:eastAsia="ja-JP"/>
        </w:rPr>
        <w:t>16</w:t>
      </w:r>
      <w:r w:rsidRPr="00537377">
        <w:rPr>
          <w:rFonts w:ascii="Times New Roman" w:eastAsia="MS Mincho" w:hAnsi="Times New Roman"/>
          <w:sz w:val="24"/>
          <w:szCs w:val="24"/>
          <w:lang w:eastAsia="ja-JP"/>
        </w:rPr>
        <w:t>, 7-22.</w:t>
      </w:r>
    </w:p>
    <w:p w:rsidR="0002101F" w:rsidRPr="00537377" w:rsidRDefault="0002101F" w:rsidP="0002101F">
      <w:pPr>
        <w:pStyle w:val="ListParagraph"/>
        <w:numPr>
          <w:ilvl w:val="0"/>
          <w:numId w:val="2"/>
        </w:numPr>
        <w:tabs>
          <w:tab w:val="left" w:pos="720"/>
        </w:tabs>
        <w:spacing w:after="0" w:line="480" w:lineRule="auto"/>
        <w:ind w:hanging="720"/>
        <w:rPr>
          <w:rFonts w:ascii="Times New Roman" w:eastAsia="MS Mincho" w:hAnsi="Times New Roman"/>
          <w:sz w:val="24"/>
          <w:szCs w:val="24"/>
          <w:lang w:eastAsia="ja-JP"/>
        </w:rPr>
      </w:pPr>
      <w:r w:rsidRPr="00537377">
        <w:rPr>
          <w:rFonts w:ascii="Times New Roman" w:eastAsia="MS Mincho" w:hAnsi="Times New Roman"/>
          <w:sz w:val="24"/>
          <w:szCs w:val="24"/>
          <w:lang w:eastAsia="ja-JP"/>
        </w:rPr>
        <w:t xml:space="preserve">Winkler </w:t>
      </w:r>
      <w:proofErr w:type="gramStart"/>
      <w:r w:rsidRPr="00537377">
        <w:rPr>
          <w:rFonts w:ascii="Times New Roman" w:eastAsia="MS Mincho" w:hAnsi="Times New Roman"/>
          <w:sz w:val="24"/>
          <w:szCs w:val="24"/>
          <w:lang w:eastAsia="ja-JP"/>
        </w:rPr>
        <w:t>AM</w:t>
      </w:r>
      <w:proofErr w:type="gramEnd"/>
      <w:r w:rsidRPr="00537377">
        <w:rPr>
          <w:rFonts w:ascii="Times New Roman" w:eastAsia="MS Mincho" w:hAnsi="Times New Roman"/>
          <w:sz w:val="24"/>
          <w:szCs w:val="24"/>
          <w:lang w:eastAsia="ja-JP"/>
        </w:rPr>
        <w:t>, Ridgway GR, Webster MA,</w:t>
      </w:r>
      <w:r w:rsidRPr="00537377">
        <w:rPr>
          <w:rFonts w:ascii="Times New Roman" w:hAnsi="Times New Roman"/>
          <w:sz w:val="24"/>
          <w:szCs w:val="24"/>
        </w:rPr>
        <w:t xml:space="preserve"> </w:t>
      </w:r>
      <w:r w:rsidRPr="00537377">
        <w:rPr>
          <w:rFonts w:ascii="Times New Roman" w:eastAsia="MS Mincho" w:hAnsi="Times New Roman"/>
          <w:sz w:val="24"/>
          <w:szCs w:val="24"/>
          <w:lang w:eastAsia="ja-JP"/>
        </w:rPr>
        <w:t xml:space="preserve">Smith SM, Nichols TE (2014) Permutation inference for the general linear model. </w:t>
      </w:r>
      <w:proofErr w:type="spellStart"/>
      <w:r w:rsidRPr="00537377">
        <w:rPr>
          <w:rFonts w:ascii="Times New Roman" w:eastAsia="MS Mincho" w:hAnsi="Times New Roman"/>
          <w:i/>
          <w:sz w:val="24"/>
          <w:szCs w:val="24"/>
          <w:lang w:eastAsia="ja-JP"/>
        </w:rPr>
        <w:t>Neuroimage</w:t>
      </w:r>
      <w:proofErr w:type="spellEnd"/>
      <w:r w:rsidRPr="00537377">
        <w:rPr>
          <w:rFonts w:ascii="Times New Roman" w:eastAsia="MS Mincho" w:hAnsi="Times New Roman"/>
          <w:sz w:val="24"/>
          <w:szCs w:val="24"/>
          <w:lang w:eastAsia="ja-JP"/>
        </w:rPr>
        <w:t xml:space="preserve"> </w:t>
      </w:r>
      <w:r w:rsidRPr="00537377">
        <w:rPr>
          <w:rFonts w:ascii="Times New Roman" w:eastAsia="MS Mincho" w:hAnsi="Times New Roman"/>
          <w:b/>
          <w:sz w:val="24"/>
          <w:szCs w:val="24"/>
          <w:lang w:eastAsia="ja-JP"/>
        </w:rPr>
        <w:t>92</w:t>
      </w:r>
      <w:r w:rsidRPr="00537377">
        <w:rPr>
          <w:rFonts w:ascii="Times New Roman" w:eastAsia="MS Mincho" w:hAnsi="Times New Roman"/>
          <w:sz w:val="24"/>
          <w:szCs w:val="24"/>
          <w:lang w:eastAsia="ja-JP"/>
        </w:rPr>
        <w:t>, 381-397.</w:t>
      </w:r>
    </w:p>
    <w:p w:rsidR="0002101F" w:rsidRPr="00537377" w:rsidRDefault="0002101F" w:rsidP="0002101F">
      <w:pPr>
        <w:pStyle w:val="ListParagraph"/>
        <w:numPr>
          <w:ilvl w:val="0"/>
          <w:numId w:val="2"/>
        </w:numPr>
        <w:tabs>
          <w:tab w:val="left" w:pos="720"/>
        </w:tabs>
        <w:spacing w:after="0" w:line="480" w:lineRule="auto"/>
        <w:ind w:hanging="720"/>
        <w:rPr>
          <w:rFonts w:ascii="Times New Roman" w:hAnsi="Times New Roman"/>
          <w:sz w:val="24"/>
          <w:szCs w:val="24"/>
        </w:rPr>
      </w:pPr>
      <w:proofErr w:type="spellStart"/>
      <w:r w:rsidRPr="00537377">
        <w:rPr>
          <w:rFonts w:ascii="Times New Roman" w:eastAsia="MS Mincho" w:hAnsi="Times New Roman"/>
          <w:sz w:val="24"/>
          <w:szCs w:val="24"/>
          <w:lang w:eastAsia="ja-JP"/>
        </w:rPr>
        <w:t>Diedrichsen</w:t>
      </w:r>
      <w:proofErr w:type="spellEnd"/>
      <w:r w:rsidRPr="00537377">
        <w:rPr>
          <w:rFonts w:ascii="Times New Roman" w:eastAsia="MS Mincho" w:hAnsi="Times New Roman"/>
          <w:sz w:val="24"/>
          <w:szCs w:val="24"/>
          <w:lang w:eastAsia="ja-JP"/>
        </w:rPr>
        <w:t xml:space="preserve"> J, </w:t>
      </w:r>
      <w:proofErr w:type="spellStart"/>
      <w:r w:rsidRPr="00537377">
        <w:rPr>
          <w:rFonts w:ascii="Times New Roman" w:eastAsia="MS Mincho" w:hAnsi="Times New Roman"/>
          <w:sz w:val="24"/>
          <w:szCs w:val="24"/>
          <w:lang w:eastAsia="ja-JP"/>
        </w:rPr>
        <w:t>Balsters</w:t>
      </w:r>
      <w:proofErr w:type="spellEnd"/>
      <w:r w:rsidRPr="00537377">
        <w:rPr>
          <w:rFonts w:ascii="Times New Roman" w:eastAsia="MS Mincho" w:hAnsi="Times New Roman"/>
          <w:sz w:val="24"/>
          <w:szCs w:val="24"/>
          <w:lang w:eastAsia="ja-JP"/>
        </w:rPr>
        <w:t xml:space="preserve"> JH, </w:t>
      </w:r>
      <w:proofErr w:type="spellStart"/>
      <w:r w:rsidRPr="00537377">
        <w:rPr>
          <w:rFonts w:ascii="Times New Roman" w:eastAsia="MS Mincho" w:hAnsi="Times New Roman"/>
          <w:sz w:val="24"/>
          <w:szCs w:val="24"/>
          <w:lang w:eastAsia="ja-JP"/>
        </w:rPr>
        <w:t>Flavell</w:t>
      </w:r>
      <w:proofErr w:type="spellEnd"/>
      <w:r w:rsidRPr="00537377">
        <w:rPr>
          <w:rFonts w:ascii="Times New Roman" w:eastAsia="MS Mincho" w:hAnsi="Times New Roman"/>
          <w:sz w:val="24"/>
          <w:szCs w:val="24"/>
          <w:lang w:eastAsia="ja-JP"/>
        </w:rPr>
        <w:t xml:space="preserve"> J, </w:t>
      </w:r>
      <w:proofErr w:type="spellStart"/>
      <w:r w:rsidRPr="00537377">
        <w:rPr>
          <w:rFonts w:ascii="Times New Roman" w:eastAsia="MS Mincho" w:hAnsi="Times New Roman"/>
          <w:sz w:val="24"/>
          <w:szCs w:val="24"/>
          <w:lang w:eastAsia="ja-JP"/>
        </w:rPr>
        <w:t>Cussans</w:t>
      </w:r>
      <w:proofErr w:type="spellEnd"/>
      <w:r w:rsidRPr="00537377">
        <w:rPr>
          <w:rFonts w:ascii="Times New Roman" w:eastAsia="MS Mincho" w:hAnsi="Times New Roman"/>
          <w:sz w:val="24"/>
          <w:szCs w:val="24"/>
          <w:lang w:eastAsia="ja-JP"/>
        </w:rPr>
        <w:t xml:space="preserve"> E, </w:t>
      </w:r>
      <w:proofErr w:type="spellStart"/>
      <w:r w:rsidRPr="00537377">
        <w:rPr>
          <w:rFonts w:ascii="Times New Roman" w:eastAsia="MS Mincho" w:hAnsi="Times New Roman"/>
          <w:sz w:val="24"/>
          <w:szCs w:val="24"/>
          <w:lang w:eastAsia="ja-JP"/>
        </w:rPr>
        <w:t>Ramnani</w:t>
      </w:r>
      <w:proofErr w:type="spellEnd"/>
      <w:r w:rsidRPr="00537377">
        <w:rPr>
          <w:rFonts w:ascii="Times New Roman" w:eastAsia="MS Mincho" w:hAnsi="Times New Roman"/>
          <w:sz w:val="24"/>
          <w:szCs w:val="24"/>
          <w:lang w:eastAsia="ja-JP"/>
        </w:rPr>
        <w:t xml:space="preserve"> N (2009) A probabilistic MR atlas of the human cerebellum. </w:t>
      </w:r>
      <w:proofErr w:type="spellStart"/>
      <w:r w:rsidRPr="00537377">
        <w:rPr>
          <w:rFonts w:ascii="Times New Roman" w:eastAsia="MS Mincho" w:hAnsi="Times New Roman"/>
          <w:i/>
          <w:sz w:val="24"/>
          <w:szCs w:val="24"/>
          <w:lang w:eastAsia="ja-JP"/>
        </w:rPr>
        <w:t>Neuroimage</w:t>
      </w:r>
      <w:proofErr w:type="spellEnd"/>
      <w:r w:rsidRPr="00537377">
        <w:rPr>
          <w:rFonts w:ascii="Times New Roman" w:eastAsia="MS Mincho" w:hAnsi="Times New Roman"/>
          <w:sz w:val="24"/>
          <w:szCs w:val="24"/>
          <w:lang w:eastAsia="ja-JP"/>
        </w:rPr>
        <w:t xml:space="preserve"> </w:t>
      </w:r>
      <w:r w:rsidRPr="00537377">
        <w:rPr>
          <w:rFonts w:ascii="Times New Roman" w:eastAsia="MS Mincho" w:hAnsi="Times New Roman"/>
          <w:b/>
          <w:sz w:val="24"/>
          <w:szCs w:val="24"/>
          <w:lang w:eastAsia="ja-JP"/>
        </w:rPr>
        <w:t>46</w:t>
      </w:r>
      <w:r w:rsidRPr="00537377">
        <w:rPr>
          <w:rFonts w:ascii="Times New Roman" w:eastAsia="MS Mincho" w:hAnsi="Times New Roman"/>
          <w:sz w:val="24"/>
          <w:szCs w:val="24"/>
          <w:lang w:eastAsia="ja-JP"/>
        </w:rPr>
        <w:t>, 39-46.</w:t>
      </w:r>
    </w:p>
    <w:p w:rsidR="0002101F" w:rsidRPr="00371EA1" w:rsidRDefault="0002101F" w:rsidP="0002101F">
      <w:pPr>
        <w:tabs>
          <w:tab w:val="left" w:pos="360"/>
        </w:tabs>
        <w:spacing w:after="0" w:line="480" w:lineRule="auto"/>
        <w:rPr>
          <w:rFonts w:ascii="Times New Roman" w:hAnsi="Times New Roman"/>
          <w:sz w:val="24"/>
          <w:szCs w:val="24"/>
        </w:rPr>
      </w:pPr>
    </w:p>
    <w:p w:rsidR="0002101F" w:rsidRPr="00371EA1" w:rsidRDefault="0002101F" w:rsidP="0002101F">
      <w:pPr>
        <w:tabs>
          <w:tab w:val="left" w:pos="360"/>
        </w:tabs>
        <w:spacing w:after="0" w:line="480" w:lineRule="auto"/>
        <w:rPr>
          <w:rFonts w:ascii="Times New Roman" w:hAnsi="Times New Roman"/>
          <w:sz w:val="24"/>
          <w:szCs w:val="24"/>
        </w:rPr>
      </w:pPr>
    </w:p>
    <w:p w:rsidR="0002101F" w:rsidRDefault="0002101F">
      <w:bookmarkStart w:id="0" w:name="_GoBack"/>
      <w:bookmarkEnd w:id="0"/>
    </w:p>
    <w:sectPr w:rsidR="0002101F" w:rsidSect="00371EA1">
      <w:pgSz w:w="11906" w:h="16838"/>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32C3"/>
    <w:multiLevelType w:val="hybridMultilevel"/>
    <w:tmpl w:val="1E5287CE"/>
    <w:lvl w:ilvl="0" w:tplc="5CD03306">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66078"/>
    <w:multiLevelType w:val="hybridMultilevel"/>
    <w:tmpl w:val="28663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1F"/>
    <w:rsid w:val="0002101F"/>
    <w:rsid w:val="00A3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101F"/>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101F"/>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lf-report_invent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2017-08-30T05:07:00Z</dcterms:created>
  <dcterms:modified xsi:type="dcterms:W3CDTF">2017-08-30T05:08:00Z</dcterms:modified>
</cp:coreProperties>
</file>