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D1" w:rsidRPr="00ED1870" w:rsidRDefault="003566D1" w:rsidP="003566D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480" w:lineRule="auto"/>
        <w:outlineLvl w:val="0"/>
        <w:rPr>
          <w:rFonts w:ascii="Times New Roman" w:hAnsi="Times New Roman" w:cs="Times New Roman"/>
          <w:b/>
        </w:rPr>
      </w:pPr>
      <w:r w:rsidRPr="00ED1870">
        <w:rPr>
          <w:rFonts w:ascii="Times New Roman" w:hAnsi="Times New Roman" w:cs="Times New Roman"/>
          <w:b/>
        </w:rPr>
        <w:t>Supplementary Material</w:t>
      </w:r>
      <w:r w:rsidRPr="00ED1870"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p w:rsidR="003566D1" w:rsidRPr="00ED1870" w:rsidRDefault="003566D1" w:rsidP="003566D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</w:rPr>
        <w:sectPr w:rsidR="003566D1" w:rsidRPr="00ED1870" w:rsidSect="00134883">
          <w:pgSz w:w="11894" w:h="16834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566D1" w:rsidRPr="00ED1870" w:rsidTr="00764D1C">
        <w:trPr>
          <w:trHeight w:val="983"/>
        </w:trPr>
        <w:tc>
          <w:tcPr>
            <w:tcW w:w="12724" w:type="dxa"/>
          </w:tcPr>
          <w:p w:rsidR="003566D1" w:rsidRPr="00ED1870" w:rsidRDefault="003566D1" w:rsidP="00764D1C">
            <w:pPr>
              <w:tabs>
                <w:tab w:val="left" w:pos="360"/>
              </w:tabs>
              <w:spacing w:line="480" w:lineRule="auto"/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b/>
                <w:lang w:val="en-US"/>
              </w:rPr>
              <w:lastRenderedPageBreak/>
              <w:t xml:space="preserve">Supplementary Table 1: 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Demographic characteristics and hippocampal volumes of the ADNI cohort (n=779). </w:t>
            </w:r>
          </w:p>
          <w:p w:rsidR="003566D1" w:rsidRPr="00ED1870" w:rsidRDefault="003566D1" w:rsidP="00764D1C">
            <w:pPr>
              <w:tabs>
                <w:tab w:val="left" w:pos="360"/>
              </w:tabs>
              <w:spacing w:line="480" w:lineRule="auto"/>
              <w:rPr>
                <w:rFonts w:ascii="Times New Roman" w:eastAsia="Calibri" w:hAnsi="Times New Roman"/>
                <w:lang w:val="en-US"/>
              </w:rPr>
            </w:pPr>
          </w:p>
          <w:tbl>
            <w:tblPr>
              <w:tblStyle w:val="TableGrid6"/>
              <w:tblW w:w="10250" w:type="dxa"/>
              <w:tblLook w:val="04A0" w:firstRow="1" w:lastRow="0" w:firstColumn="1" w:lastColumn="0" w:noHBand="0" w:noVBand="1"/>
            </w:tblPr>
            <w:tblGrid>
              <w:gridCol w:w="3865"/>
              <w:gridCol w:w="1669"/>
              <w:gridCol w:w="1918"/>
              <w:gridCol w:w="1708"/>
              <w:gridCol w:w="1090"/>
            </w:tblGrid>
            <w:tr w:rsidR="003566D1" w:rsidRPr="00ED1870" w:rsidTr="00764D1C">
              <w:trPr>
                <w:trHeight w:val="71"/>
              </w:trPr>
              <w:tc>
                <w:tcPr>
                  <w:tcW w:w="386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ε2 carriers</w:t>
                  </w:r>
                </w:p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=52)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ε3 carriers</w:t>
                  </w:r>
                </w:p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=351)</w:t>
                  </w: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ε4 carriers</w:t>
                  </w:r>
                </w:p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=376)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</w:p>
              </w:tc>
            </w:tr>
            <w:tr w:rsidR="003566D1" w:rsidRPr="00ED1870" w:rsidTr="00764D1C">
              <w:trPr>
                <w:trHeight w:val="71"/>
              </w:trPr>
              <w:tc>
                <w:tcPr>
                  <w:tcW w:w="386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ε2/ε3 (n=50)</w:t>
                  </w:r>
                </w:p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ε2/ε2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=2)</w:t>
                  </w:r>
                </w:p>
              </w:tc>
              <w:tc>
                <w:tcPr>
                  <w:tcW w:w="1918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ε3 Homozygotes</w:t>
                  </w:r>
                </w:p>
              </w:tc>
              <w:tc>
                <w:tcPr>
                  <w:tcW w:w="1708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ε4/ε3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=290)</w:t>
                  </w:r>
                </w:p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ε4/ε4 (n=86)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p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-value</w:t>
                  </w:r>
                </w:p>
              </w:tc>
            </w:tr>
            <w:tr w:rsidR="003566D1" w:rsidRPr="00ED1870" w:rsidTr="00764D1C">
              <w:trPr>
                <w:trHeight w:val="71"/>
              </w:trPr>
              <w:tc>
                <w:tcPr>
                  <w:tcW w:w="386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Alzheimer’s disease</w:t>
                  </w:r>
                  <w:r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=177)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</w:tr>
            <w:tr w:rsidR="003566D1" w:rsidRPr="00ED1870" w:rsidTr="00764D1C">
              <w:trPr>
                <w:trHeight w:val="255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Number of subjects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†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5 (9.6)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54 (15.4)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118 (31.4)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</w:tr>
            <w:tr w:rsidR="003566D1" w:rsidRPr="00ED1870" w:rsidTr="00764D1C">
              <w:trPr>
                <w:trHeight w:val="289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Age (years)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76.5 ± 9.8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77.0 ± 8.4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74.5 ± 7.0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0.121</w:t>
                  </w:r>
                </w:p>
              </w:tc>
            </w:tr>
            <w:tr w:rsidR="003566D1" w:rsidRPr="00ED1870" w:rsidTr="00764D1C">
              <w:trPr>
                <w:trHeight w:val="187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Male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 **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 (1.1)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25 (26.3)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69 (72.6)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0.102</w:t>
                  </w:r>
                </w:p>
              </w:tc>
            </w:tr>
            <w:tr w:rsidR="003566D1" w:rsidRPr="00ED1870" w:rsidTr="00764D1C">
              <w:trPr>
                <w:trHeight w:val="187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Education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14.0 ± 3.2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15.1 ± 3.4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14.5 ± 3.1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0.532</w:t>
                  </w:r>
                </w:p>
              </w:tc>
            </w:tr>
            <w:tr w:rsidR="003566D1" w:rsidRPr="00ED1870" w:rsidTr="00764D1C">
              <w:trPr>
                <w:trHeight w:val="187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MMSE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21.8 ± 1.6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23.5 ± 2.0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23.2 ± 2.0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0.187</w:t>
                  </w:r>
                </w:p>
              </w:tc>
            </w:tr>
            <w:tr w:rsidR="003566D1" w:rsidRPr="00ED1870" w:rsidTr="00764D1C">
              <w:trPr>
                <w:trHeight w:val="252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ICV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1453 ± 127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1554 ± 185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1550 ± 192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0.514</w:t>
                  </w:r>
                </w:p>
              </w:tc>
            </w:tr>
            <w:tr w:rsidR="003566D1" w:rsidRPr="00ED1870" w:rsidTr="00764D1C">
              <w:trPr>
                <w:trHeight w:val="252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Left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1.60 ± 0.4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1.84 ± 0.4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1.76 ± 0.3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0.028</w:t>
                  </w:r>
                </w:p>
              </w:tc>
            </w:tr>
            <w:tr w:rsidR="003566D1" w:rsidRPr="00ED1870" w:rsidTr="00764D1C">
              <w:trPr>
                <w:trHeight w:val="252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Right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1.62 ± 0.5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B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1.91 ± 0.5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1.79 ± 0.3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0.004</w:t>
                  </w:r>
                </w:p>
              </w:tc>
            </w:tr>
            <w:tr w:rsidR="003566D1" w:rsidRPr="00ED1870" w:rsidTr="00764D1C">
              <w:trPr>
                <w:trHeight w:val="71"/>
              </w:trPr>
              <w:tc>
                <w:tcPr>
                  <w:tcW w:w="386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Mild cognitive impairment</w:t>
                  </w:r>
                  <w:r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=383)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Number of subjects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†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16 (30.8)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165 (47.0)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202 (53.7)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Age (years)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76.7 ± 7.3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75.7 ± 8.1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74.0 ± 7.0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0.049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Male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 **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8 (3.3)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112 (45.7)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125 (51.0)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0.243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Education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15.6 ± 2.7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15.7 ± 3.1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15.6 ± 3.0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0.980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MMSE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27.5 ± 1.5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27.1 ±1.8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26.8 ± 1.8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0.189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ICV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1511 ± 194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1581 ± 172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1571 ± 172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0.292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Left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2.14 ± 0.3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2.03 ± 0.4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1.95 ± 0.4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B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0.001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Right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2.19 ± 0.3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2.06 ± 0.4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1.98 ± 0.4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A,B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0.001</w:t>
                  </w:r>
                </w:p>
              </w:tc>
            </w:tr>
            <w:tr w:rsidR="003566D1" w:rsidRPr="00ED1870" w:rsidTr="00764D1C">
              <w:trPr>
                <w:trHeight w:val="71"/>
              </w:trPr>
              <w:tc>
                <w:tcPr>
                  <w:tcW w:w="386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Healthy </w:t>
                  </w:r>
                  <w:r>
                    <w:rPr>
                      <w:rFonts w:ascii="Times New Roman" w:eastAsia="Calibri" w:hAnsi="Times New Roman"/>
                      <w:b/>
                      <w:lang w:val="en-US"/>
                    </w:rPr>
                    <w:t>c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ontrols</w:t>
                  </w:r>
                  <w:r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=219)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Number of subjects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†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31 (59.6)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132 (37.6)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56 (14.9)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Age (years)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75.7 ± 5.6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76.1 ± 5.0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75.7 ± 5.0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0.859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Male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 **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13 (11.4)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72 (63.2)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29 (25.4)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0.449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Education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15.8 ± 3.5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16.2 ± 2.8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16.1 ± 2.8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0.784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MMSE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28.8 ± 1.2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29.2 ± 0.9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29.3 ± 0.8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0.134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ICV (mL)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1493 ± 173</w:t>
                  </w: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1549 ± 157</w:t>
                  </w: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1534 ± 154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0.214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Left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2.43 ± 0.4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2.32 ± 0.3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2.30 ± 0.3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0.187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Right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2.44 ± 0.3</w:t>
                  </w:r>
                </w:p>
              </w:tc>
              <w:tc>
                <w:tcPr>
                  <w:tcW w:w="191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2.32 ± 0.3</w:t>
                  </w:r>
                </w:p>
              </w:tc>
              <w:tc>
                <w:tcPr>
                  <w:tcW w:w="1708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2.30 ± 0.3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0.182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86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91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708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</w:tr>
          </w:tbl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MMSE, Mini-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Mental State Examination; ICV, intracranial volume; CANTAB SWM, Cambridge Neuropsychological Test Automated Battery [CANTAB] Spatial Working Memory; IQ, intelligence quotient. 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lang w:val="en-US"/>
              </w:rPr>
              <w:t xml:space="preserve">Data are Mean ± SD. Percentages are displayed in parentheses. 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b/>
                <w:lang w:val="en-US"/>
              </w:rPr>
              <w:t>**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 percentage calculated as number of males by each </w:t>
            </w:r>
            <w:proofErr w:type="spellStart"/>
            <w:r w:rsidRPr="00ED1870">
              <w:rPr>
                <w:rFonts w:ascii="Times New Roman" w:eastAsia="Calibri" w:hAnsi="Times New Roman"/>
                <w:lang w:val="en-US"/>
              </w:rPr>
              <w:t>ApoE</w:t>
            </w:r>
            <w:proofErr w:type="spellEnd"/>
            <w:r w:rsidRPr="00ED1870">
              <w:rPr>
                <w:rFonts w:ascii="Times New Roman" w:eastAsia="Calibri" w:hAnsi="Times New Roman"/>
                <w:lang w:val="en-US"/>
              </w:rPr>
              <w:t xml:space="preserve"> group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vertAlign w:val="superscript"/>
                <w:lang w:val="en-US"/>
              </w:rPr>
              <w:t>A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 significant compared to ε2 carriers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vertAlign w:val="superscript"/>
                <w:lang w:val="en-US"/>
              </w:rPr>
              <w:t>B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 significant compared to ε3 carriers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vertAlign w:val="superscript"/>
                <w:lang w:val="en-US"/>
              </w:rPr>
              <w:lastRenderedPageBreak/>
              <w:t>C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 significant compared to ε4 carriers</w:t>
            </w:r>
          </w:p>
          <w:p w:rsidR="003566D1" w:rsidRPr="00ED1870" w:rsidRDefault="003566D1" w:rsidP="00764D1C">
            <w:pPr>
              <w:tabs>
                <w:tab w:val="left" w:pos="360"/>
              </w:tabs>
              <w:spacing w:line="480" w:lineRule="auto"/>
              <w:rPr>
                <w:rFonts w:ascii="Times New Roman" w:eastAsia="Calibri" w:hAnsi="Times New Roman"/>
                <w:lang w:val="en-US"/>
              </w:rPr>
            </w:pPr>
          </w:p>
        </w:tc>
      </w:tr>
    </w:tbl>
    <w:p w:rsidR="003566D1" w:rsidRPr="00ED1870" w:rsidRDefault="003566D1" w:rsidP="003566D1">
      <w:pPr>
        <w:tabs>
          <w:tab w:val="left" w:pos="360"/>
        </w:tabs>
        <w:spacing w:after="0" w:line="480" w:lineRule="auto"/>
        <w:rPr>
          <w:rFonts w:ascii="Times New Roman" w:eastAsia="Calibri" w:hAnsi="Times New Roman" w:cs="Times New Roman"/>
        </w:rPr>
      </w:pPr>
    </w:p>
    <w:p w:rsidR="003566D1" w:rsidRPr="00ED1870" w:rsidRDefault="003566D1" w:rsidP="003566D1">
      <w:pPr>
        <w:tabs>
          <w:tab w:val="left" w:pos="360"/>
        </w:tabs>
        <w:spacing w:after="0" w:line="480" w:lineRule="auto"/>
        <w:rPr>
          <w:rFonts w:ascii="Times New Roman" w:eastAsia="Calibri" w:hAnsi="Times New Roman" w:cs="Times New Roman"/>
        </w:rPr>
      </w:pPr>
      <w:r w:rsidRPr="00ED1870">
        <w:rPr>
          <w:rFonts w:ascii="Times New Roman" w:eastAsia="Calibri" w:hAnsi="Times New Roman" w:cs="Times New Roman"/>
        </w:rPr>
        <w:br w:type="page"/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566D1" w:rsidRPr="00ED1870" w:rsidTr="00764D1C">
        <w:trPr>
          <w:trHeight w:val="983"/>
        </w:trPr>
        <w:tc>
          <w:tcPr>
            <w:tcW w:w="12724" w:type="dxa"/>
          </w:tcPr>
          <w:p w:rsidR="003566D1" w:rsidRPr="00ED1870" w:rsidRDefault="003566D1" w:rsidP="00764D1C">
            <w:pPr>
              <w:tabs>
                <w:tab w:val="left" w:pos="360"/>
              </w:tabs>
              <w:spacing w:line="480" w:lineRule="auto"/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b/>
                <w:lang w:val="en-US"/>
              </w:rPr>
              <w:lastRenderedPageBreak/>
              <w:t xml:space="preserve">Supplementary Table 2: 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Demographic characteristics and hippocampal volumes of the AIBL cohort (n=228). </w:t>
            </w:r>
          </w:p>
          <w:p w:rsidR="003566D1" w:rsidRPr="00ED1870" w:rsidRDefault="003566D1" w:rsidP="00764D1C">
            <w:pPr>
              <w:tabs>
                <w:tab w:val="left" w:pos="360"/>
              </w:tabs>
              <w:spacing w:line="480" w:lineRule="auto"/>
              <w:rPr>
                <w:rFonts w:ascii="Times New Roman" w:eastAsia="Calibri" w:hAnsi="Times New Roman"/>
                <w:lang w:val="en-US"/>
              </w:rPr>
            </w:pPr>
          </w:p>
          <w:tbl>
            <w:tblPr>
              <w:tblStyle w:val="TableGrid6"/>
              <w:tblW w:w="11557" w:type="dxa"/>
              <w:tblLook w:val="04A0" w:firstRow="1" w:lastRow="0" w:firstColumn="1" w:lastColumn="0" w:noHBand="0" w:noVBand="1"/>
            </w:tblPr>
            <w:tblGrid>
              <w:gridCol w:w="3955"/>
              <w:gridCol w:w="1669"/>
              <w:gridCol w:w="2377"/>
              <w:gridCol w:w="2466"/>
              <w:gridCol w:w="1090"/>
            </w:tblGrid>
            <w:tr w:rsidR="003566D1" w:rsidRPr="00ED1870" w:rsidTr="00764D1C">
              <w:trPr>
                <w:trHeight w:val="71"/>
              </w:trPr>
              <w:tc>
                <w:tcPr>
                  <w:tcW w:w="395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ε2 carriers</w:t>
                  </w:r>
                </w:p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=24)</w:t>
                  </w: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ε3 carriers</w:t>
                  </w:r>
                </w:p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=91)</w:t>
                  </w:r>
                </w:p>
              </w:tc>
              <w:tc>
                <w:tcPr>
                  <w:tcW w:w="2466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ε4 carriers</w:t>
                  </w:r>
                </w:p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=113)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</w:p>
              </w:tc>
            </w:tr>
            <w:tr w:rsidR="003566D1" w:rsidRPr="00ED1870" w:rsidTr="00764D1C">
              <w:trPr>
                <w:trHeight w:val="71"/>
              </w:trPr>
              <w:tc>
                <w:tcPr>
                  <w:tcW w:w="395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ε2/ε3 (n=24)</w:t>
                  </w:r>
                </w:p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ε2/ε2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=0)</w:t>
                  </w:r>
                </w:p>
              </w:tc>
              <w:tc>
                <w:tcPr>
                  <w:tcW w:w="2377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ε3 Homozygotes</w:t>
                  </w:r>
                </w:p>
              </w:tc>
              <w:tc>
                <w:tcPr>
                  <w:tcW w:w="2466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ε4/ε3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=93)</w:t>
                  </w:r>
                </w:p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ε4/ε4 (n=20)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p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-value</w:t>
                  </w:r>
                </w:p>
              </w:tc>
            </w:tr>
            <w:tr w:rsidR="003566D1" w:rsidRPr="00ED1870" w:rsidTr="00764D1C">
              <w:trPr>
                <w:trHeight w:val="71"/>
              </w:trPr>
              <w:tc>
                <w:tcPr>
                  <w:tcW w:w="395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Alzheimer’s disease 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=46)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</w:tr>
            <w:tr w:rsidR="003566D1" w:rsidRPr="00ED1870" w:rsidTr="00764D1C">
              <w:trPr>
                <w:trHeight w:val="255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Number of subjects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†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5 (20.8)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 (16.5)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26 (23.0)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</w:tr>
            <w:tr w:rsidR="003566D1" w:rsidRPr="00ED1870" w:rsidTr="00764D1C">
              <w:trPr>
                <w:trHeight w:val="289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Age (years)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78.6 ± 6.0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76.7 ± 6.7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76.8 ± 7.7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0.864</w:t>
                  </w:r>
                </w:p>
              </w:tc>
            </w:tr>
            <w:tr w:rsidR="003566D1" w:rsidRPr="00ED1870" w:rsidTr="00764D1C">
              <w:trPr>
                <w:trHeight w:val="187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Male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 **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 (4.3)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8 (17.4)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13 (28.3)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0.875</w:t>
                  </w:r>
                </w:p>
              </w:tc>
            </w:tr>
            <w:tr w:rsidR="003566D1" w:rsidRPr="00ED1870" w:rsidTr="00764D1C">
              <w:trPr>
                <w:trHeight w:val="187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Education 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</w:tr>
            <w:tr w:rsidR="003566D1" w:rsidRPr="00ED1870" w:rsidTr="00764D1C">
              <w:trPr>
                <w:trHeight w:val="187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MMSE 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18.6 ± 8.2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22.3 ± 2.9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19.6 ± 4.9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0.155</w:t>
                  </w:r>
                </w:p>
              </w:tc>
            </w:tr>
            <w:tr w:rsidR="003566D1" w:rsidRPr="00ED1870" w:rsidTr="00764D1C">
              <w:trPr>
                <w:trHeight w:val="252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ICV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1411 ± 158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1555 ± 115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1593 ± 195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0.101</w:t>
                  </w:r>
                </w:p>
              </w:tc>
            </w:tr>
            <w:tr w:rsidR="003566D1" w:rsidRPr="00ED1870" w:rsidTr="00764D1C">
              <w:trPr>
                <w:trHeight w:val="252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Left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2.36 ± 0.4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2.36 ± 0.3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2.14 ± 0.4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0.096</w:t>
                  </w:r>
                </w:p>
              </w:tc>
            </w:tr>
            <w:tr w:rsidR="003566D1" w:rsidRPr="00ED1870" w:rsidTr="00764D1C">
              <w:trPr>
                <w:trHeight w:val="252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Right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2.44 ± 0.3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2.39 ± 0.3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2.13 ± 0.4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A,B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0.034</w:t>
                  </w:r>
                </w:p>
              </w:tc>
            </w:tr>
            <w:tr w:rsidR="003566D1" w:rsidRPr="00ED1870" w:rsidTr="00764D1C">
              <w:trPr>
                <w:trHeight w:val="71"/>
              </w:trPr>
              <w:tc>
                <w:tcPr>
                  <w:tcW w:w="395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Mild cognitive impairment</w:t>
                  </w:r>
                  <w:r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=42)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2466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Number of subjects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†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4 (16.6)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16 (17.6)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22 (19.5)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Age (years)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79.5 ± 6.6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74.3 ± 7.6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75.6 ± 9.4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0.556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Male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 **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 (4.8)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5 (11.9)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11 (26.2)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0.491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Education 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MMSE 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28.5 ± 1.7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26.6 ±2.7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27.1 ± 2.2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0.380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ICV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1467 ± 104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1491 ± 176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1533 ± 116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0.542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Left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2.45 ± 0.2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2.47 ± 0.5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2.14 ± 0.4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0.068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Right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2.46 ± 0.2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2.50 ± 0.5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2.22 ± 0.4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0.175</w:t>
                  </w:r>
                </w:p>
              </w:tc>
            </w:tr>
            <w:tr w:rsidR="003566D1" w:rsidRPr="00ED1870" w:rsidTr="00764D1C">
              <w:trPr>
                <w:trHeight w:val="71"/>
              </w:trPr>
              <w:tc>
                <w:tcPr>
                  <w:tcW w:w="3955" w:type="dxa"/>
                  <w:shd w:val="clear" w:color="auto" w:fill="auto"/>
                  <w:vAlign w:val="center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 xml:space="preserve">Healthy </w:t>
                  </w:r>
                  <w:r>
                    <w:rPr>
                      <w:rFonts w:ascii="Times New Roman" w:eastAsia="Calibri" w:hAnsi="Times New Roman"/>
                      <w:b/>
                      <w:lang w:val="en-US"/>
                    </w:rPr>
                    <w:t>c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ontrols (</w:t>
                  </w:r>
                  <w:r w:rsidRPr="00ED1870">
                    <w:rPr>
                      <w:rFonts w:ascii="Times New Roman" w:eastAsia="Calibri" w:hAnsi="Times New Roman"/>
                      <w:b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=140)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2466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Number of subjects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†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 (62.5)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132 (65.9)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65 (57.5)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Age (years)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78.3 ± 7.4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77.5 ± 7.9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76.4 ± 6.6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0.561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Male (</w:t>
                  </w:r>
                  <w:r w:rsidRPr="00ED1870">
                    <w:rPr>
                      <w:rFonts w:ascii="Times New Roman" w:eastAsia="Calibri" w:hAnsi="Times New Roman"/>
                      <w:i/>
                      <w:lang w:val="en-US"/>
                    </w:rPr>
                    <w:t>n</w:t>
                  </w: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 (%)) </w:t>
                  </w: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**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8 (5.7)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28 (20.0)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33 (23.6)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0.852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Education 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--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 xml:space="preserve">MMSE 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28.7 ± 1.0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28.7 ± 1.1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28.9 ± 1.2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0.509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ICV (mL)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1588 ± 189</w:t>
                  </w:r>
                </w:p>
              </w:tc>
              <w:tc>
                <w:tcPr>
                  <w:tcW w:w="2377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1516 ± 169</w:t>
                  </w:r>
                </w:p>
              </w:tc>
              <w:tc>
                <w:tcPr>
                  <w:tcW w:w="2466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1524 ± 150</w:t>
                  </w: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0.298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Left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2.33 ± 0.2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2.41 ± 0.4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2.23 ± 0.4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0.008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ind w:firstLine="164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Right Hippocampal volume (mL)</w:t>
                  </w:r>
                </w:p>
              </w:tc>
              <w:tc>
                <w:tcPr>
                  <w:tcW w:w="1669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2.42 ± 0.3</w:t>
                  </w:r>
                </w:p>
              </w:tc>
              <w:tc>
                <w:tcPr>
                  <w:tcW w:w="2377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2.49 ± 0.4</w:t>
                  </w:r>
                  <w:r w:rsidRPr="00ED1870">
                    <w:rPr>
                      <w:rFonts w:ascii="Times New Roman" w:eastAsia="Calibri" w:hAnsi="Times New Roman"/>
                      <w:vertAlign w:val="superscript"/>
                      <w:lang w:val="en-US"/>
                    </w:rPr>
                    <w:t>C</w:t>
                  </w:r>
                </w:p>
              </w:tc>
              <w:tc>
                <w:tcPr>
                  <w:tcW w:w="2466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lang w:val="en-US"/>
                    </w:rPr>
                    <w:t>2.28 ± 0.4</w:t>
                  </w:r>
                </w:p>
              </w:tc>
              <w:tc>
                <w:tcPr>
                  <w:tcW w:w="1090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b/>
                      <w:lang w:val="en-US"/>
                    </w:rPr>
                  </w:pPr>
                  <w:r w:rsidRPr="00ED1870">
                    <w:rPr>
                      <w:rFonts w:ascii="Times New Roman" w:eastAsia="Calibri" w:hAnsi="Times New Roman"/>
                      <w:b/>
                      <w:lang w:val="en-US"/>
                    </w:rPr>
                    <w:t>0.003</w:t>
                  </w:r>
                </w:p>
              </w:tc>
            </w:tr>
            <w:tr w:rsidR="003566D1" w:rsidRPr="00ED1870" w:rsidTr="00764D1C">
              <w:trPr>
                <w:trHeight w:val="68"/>
              </w:trPr>
              <w:tc>
                <w:tcPr>
                  <w:tcW w:w="3955" w:type="dxa"/>
                  <w:shd w:val="clear" w:color="auto" w:fill="auto"/>
                  <w:vAlign w:val="bottom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2377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2466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</w:tcPr>
                <w:p w:rsidR="003566D1" w:rsidRPr="00ED1870" w:rsidRDefault="003566D1" w:rsidP="00764D1C">
                  <w:pPr>
                    <w:keepNext/>
                    <w:tabs>
                      <w:tab w:val="left" w:pos="360"/>
                    </w:tabs>
                    <w:jc w:val="center"/>
                    <w:rPr>
                      <w:rFonts w:ascii="Times New Roman" w:eastAsia="Calibri" w:hAnsi="Times New Roman"/>
                      <w:lang w:val="en-US"/>
                    </w:rPr>
                  </w:pPr>
                </w:p>
              </w:tc>
            </w:tr>
          </w:tbl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MMSE, Mini-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Mental State Examination; ICV, intracranial volume; CANTAB SWM, Cambridge Neuropsychological Test Automated Battery [CANTAB] Spatial Working Memory; IQ, intelligence quotient. 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lang w:val="en-US"/>
              </w:rPr>
              <w:t xml:space="preserve">Data are Mean ± SD. Percentages are displayed in parentheses. 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b/>
                <w:lang w:val="en-US"/>
              </w:rPr>
              <w:t>**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 percentage calculated as number of males by each </w:t>
            </w:r>
            <w:proofErr w:type="spellStart"/>
            <w:r w:rsidRPr="00ED1870">
              <w:rPr>
                <w:rFonts w:ascii="Times New Roman" w:eastAsia="Calibri" w:hAnsi="Times New Roman"/>
                <w:lang w:val="en-US"/>
              </w:rPr>
              <w:t>ApoE</w:t>
            </w:r>
            <w:proofErr w:type="spellEnd"/>
            <w:r w:rsidRPr="00ED1870">
              <w:rPr>
                <w:rFonts w:ascii="Times New Roman" w:eastAsia="Calibri" w:hAnsi="Times New Roman"/>
                <w:lang w:val="en-US"/>
              </w:rPr>
              <w:t xml:space="preserve"> group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vertAlign w:val="superscript"/>
                <w:lang w:val="en-US"/>
              </w:rPr>
              <w:t>A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 significant compared to ε2 carriers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vertAlign w:val="superscript"/>
                <w:lang w:val="en-US"/>
              </w:rPr>
              <w:t>B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 significant compared to ε3 carriers</w:t>
            </w:r>
          </w:p>
          <w:p w:rsidR="003566D1" w:rsidRPr="00ED1870" w:rsidRDefault="003566D1" w:rsidP="00764D1C">
            <w:pPr>
              <w:tabs>
                <w:tab w:val="left" w:pos="360"/>
              </w:tabs>
              <w:rPr>
                <w:rFonts w:ascii="Times New Roman" w:eastAsia="Calibri" w:hAnsi="Times New Roman"/>
                <w:lang w:val="en-US"/>
              </w:rPr>
            </w:pPr>
            <w:r w:rsidRPr="00ED1870">
              <w:rPr>
                <w:rFonts w:ascii="Times New Roman" w:eastAsia="Calibri" w:hAnsi="Times New Roman"/>
                <w:vertAlign w:val="superscript"/>
                <w:lang w:val="en-US"/>
              </w:rPr>
              <w:lastRenderedPageBreak/>
              <w:t>C</w:t>
            </w:r>
            <w:r w:rsidRPr="00ED1870">
              <w:rPr>
                <w:rFonts w:ascii="Times New Roman" w:eastAsia="Calibri" w:hAnsi="Times New Roman"/>
                <w:lang w:val="en-US"/>
              </w:rPr>
              <w:t xml:space="preserve"> significant compared to ε4 carriers</w:t>
            </w:r>
          </w:p>
          <w:p w:rsidR="003566D1" w:rsidRPr="00ED1870" w:rsidRDefault="003566D1" w:rsidP="00764D1C">
            <w:pPr>
              <w:tabs>
                <w:tab w:val="left" w:pos="360"/>
              </w:tabs>
              <w:spacing w:line="480" w:lineRule="auto"/>
              <w:rPr>
                <w:rFonts w:ascii="Times New Roman" w:eastAsia="Calibri" w:hAnsi="Times New Roman"/>
                <w:lang w:val="en-US"/>
              </w:rPr>
            </w:pPr>
          </w:p>
        </w:tc>
      </w:tr>
    </w:tbl>
    <w:p w:rsidR="0028518D" w:rsidRPr="003566D1" w:rsidRDefault="0028518D">
      <w:pPr>
        <w:rPr>
          <w:b/>
        </w:rPr>
      </w:pPr>
    </w:p>
    <w:sectPr w:rsidR="0028518D" w:rsidRPr="0035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D1"/>
    <w:rsid w:val="0028518D"/>
    <w:rsid w:val="0035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3566D1"/>
    <w:pPr>
      <w:spacing w:after="0" w:line="240" w:lineRule="auto"/>
    </w:pPr>
    <w:rPr>
      <w:rFonts w:ascii="Calibri" w:hAnsi="Calibri" w:cs="Times New Roman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3566D1"/>
    <w:pPr>
      <w:spacing w:after="0" w:line="240" w:lineRule="auto"/>
    </w:pPr>
    <w:rPr>
      <w:rFonts w:ascii="Calibri" w:hAnsi="Calibri" w:cs="Times New Roman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6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2017-01-26T09:59:00Z</dcterms:created>
  <dcterms:modified xsi:type="dcterms:W3CDTF">2017-01-26T10:00:00Z</dcterms:modified>
</cp:coreProperties>
</file>