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F6" w:rsidRPr="00A87AD8" w:rsidRDefault="00150EF6" w:rsidP="00150EF6">
      <w:pPr>
        <w:tabs>
          <w:tab w:val="left" w:pos="360"/>
        </w:tabs>
        <w:spacing w:line="480" w:lineRule="auto"/>
        <w:rPr>
          <w:b/>
          <w:sz w:val="40"/>
          <w:szCs w:val="40"/>
        </w:rPr>
      </w:pPr>
      <w:r w:rsidRPr="00A87AD8">
        <w:rPr>
          <w:b/>
          <w:sz w:val="40"/>
          <w:szCs w:val="40"/>
        </w:rPr>
        <w:t>Supplementary Material</w:t>
      </w:r>
    </w:p>
    <w:p w:rsidR="00150EF6" w:rsidRDefault="00150EF6" w:rsidP="00150EF6">
      <w:pPr>
        <w:tabs>
          <w:tab w:val="left" w:pos="360"/>
        </w:tabs>
        <w:spacing w:line="480" w:lineRule="auto"/>
        <w:rPr>
          <w:b/>
          <w:sz w:val="24"/>
          <w:szCs w:val="24"/>
        </w:rPr>
      </w:pPr>
    </w:p>
    <w:p w:rsidR="00150EF6" w:rsidRPr="0017113D" w:rsidRDefault="00150EF6" w:rsidP="00150EF6">
      <w:pPr>
        <w:tabs>
          <w:tab w:val="left" w:pos="360"/>
        </w:tabs>
        <w:spacing w:line="480" w:lineRule="auto"/>
        <w:rPr>
          <w:b/>
          <w:sz w:val="24"/>
          <w:szCs w:val="24"/>
        </w:rPr>
      </w:pPr>
      <w:r w:rsidRPr="0017113D">
        <w:rPr>
          <w:b/>
          <w:sz w:val="24"/>
          <w:szCs w:val="24"/>
        </w:rPr>
        <w:t>Methods</w:t>
      </w:r>
    </w:p>
    <w:p w:rsidR="00150EF6" w:rsidRDefault="00150EF6" w:rsidP="00150EF6">
      <w:pPr>
        <w:tabs>
          <w:tab w:val="left" w:pos="360"/>
        </w:tabs>
        <w:spacing w:line="480" w:lineRule="auto"/>
        <w:rPr>
          <w:sz w:val="24"/>
          <w:szCs w:val="24"/>
        </w:rPr>
      </w:pPr>
      <w:r w:rsidRPr="005D0228">
        <w:rPr>
          <w:sz w:val="24"/>
          <w:szCs w:val="24"/>
        </w:rPr>
        <w:tab/>
        <w:t>To determine the recovery of [</w:t>
      </w:r>
      <w:r w:rsidRPr="005D0228">
        <w:rPr>
          <w:sz w:val="24"/>
          <w:szCs w:val="24"/>
          <w:vertAlign w:val="superscript"/>
        </w:rPr>
        <w:t>18</w:t>
      </w:r>
      <w:r w:rsidRPr="005D0228">
        <w:rPr>
          <w:sz w:val="24"/>
          <w:szCs w:val="24"/>
        </w:rPr>
        <w:t>F]-AV45, as well as the stability of the tracer during the</w:t>
      </w:r>
      <w:r w:rsidRPr="0017113D">
        <w:rPr>
          <w:sz w:val="24"/>
          <w:szCs w:val="24"/>
        </w:rPr>
        <w:t xml:space="preserve"> workup, control experiments (n = 3) were performed using blood and brain spiked </w:t>
      </w:r>
      <w:r w:rsidRPr="0017113D">
        <w:rPr>
          <w:i/>
          <w:sz w:val="24"/>
          <w:szCs w:val="24"/>
        </w:rPr>
        <w:t>in vitro</w:t>
      </w:r>
      <w:r w:rsidRPr="0017113D">
        <w:rPr>
          <w:sz w:val="24"/>
          <w:szCs w:val="24"/>
        </w:rPr>
        <w:t xml:space="preserve"> with 200 </w:t>
      </w:r>
      <w:proofErr w:type="spellStart"/>
      <w:r w:rsidRPr="0017113D">
        <w:rPr>
          <w:sz w:val="24"/>
          <w:szCs w:val="24"/>
        </w:rPr>
        <w:t>kBq</w:t>
      </w:r>
      <w:proofErr w:type="spellEnd"/>
      <w:r w:rsidRPr="0017113D">
        <w:rPr>
          <w:sz w:val="24"/>
          <w:szCs w:val="24"/>
        </w:rPr>
        <w:t xml:space="preserve"> of [</w:t>
      </w:r>
      <w:r w:rsidRPr="0017113D">
        <w:rPr>
          <w:sz w:val="24"/>
          <w:szCs w:val="24"/>
          <w:vertAlign w:val="superscript"/>
        </w:rPr>
        <w:t>18</w:t>
      </w:r>
      <w:r w:rsidRPr="0017113D">
        <w:rPr>
          <w:sz w:val="24"/>
          <w:szCs w:val="24"/>
        </w:rPr>
        <w:t>F]-AV45. Sample workup was identical as described for the main me</w:t>
      </w:r>
      <w:r>
        <w:rPr>
          <w:sz w:val="24"/>
          <w:szCs w:val="24"/>
        </w:rPr>
        <w:t>tabolite experiment. 96.7 ± 2.0</w:t>
      </w:r>
      <w:r w:rsidRPr="0017113D">
        <w:rPr>
          <w:sz w:val="24"/>
          <w:szCs w:val="24"/>
        </w:rPr>
        <w:t xml:space="preserve">% intact tracer was detected in the brain and 97.5 ± 1.1% intact </w:t>
      </w:r>
      <w:proofErr w:type="gramStart"/>
      <w:r w:rsidRPr="0017113D">
        <w:rPr>
          <w:sz w:val="24"/>
          <w:szCs w:val="24"/>
        </w:rPr>
        <w:t>tracer</w:t>
      </w:r>
      <w:proofErr w:type="gramEnd"/>
      <w:r w:rsidRPr="0017113D">
        <w:rPr>
          <w:sz w:val="24"/>
          <w:szCs w:val="24"/>
        </w:rPr>
        <w:t xml:space="preserve"> was detected in the plasma. </w:t>
      </w:r>
    </w:p>
    <w:p w:rsidR="00150EF6" w:rsidRPr="0017113D" w:rsidRDefault="00150EF6" w:rsidP="00150EF6">
      <w:pPr>
        <w:tabs>
          <w:tab w:val="left" w:pos="360"/>
        </w:tabs>
        <w:spacing w:line="480" w:lineRule="auto"/>
        <w:rPr>
          <w:sz w:val="24"/>
          <w:szCs w:val="24"/>
        </w:rPr>
      </w:pPr>
    </w:p>
    <w:p w:rsidR="00150EF6" w:rsidRPr="0017113D" w:rsidRDefault="00150EF6" w:rsidP="00150EF6">
      <w:pPr>
        <w:tabs>
          <w:tab w:val="left" w:pos="360"/>
        </w:tabs>
        <w:spacing w:line="480" w:lineRule="auto"/>
        <w:rPr>
          <w:b/>
          <w:sz w:val="24"/>
          <w:szCs w:val="24"/>
        </w:rPr>
      </w:pPr>
      <w:r w:rsidRPr="0017113D">
        <w:rPr>
          <w:b/>
          <w:sz w:val="24"/>
          <w:szCs w:val="24"/>
        </w:rPr>
        <w:t>Results</w:t>
      </w:r>
    </w:p>
    <w:p w:rsidR="00150EF6" w:rsidRPr="0017113D" w:rsidRDefault="00150EF6" w:rsidP="00150EF6">
      <w:pPr>
        <w:tabs>
          <w:tab w:val="left" w:pos="360"/>
        </w:tabs>
        <w:spacing w:line="480" w:lineRule="auto"/>
        <w:rPr>
          <w:i/>
          <w:sz w:val="24"/>
          <w:szCs w:val="24"/>
        </w:rPr>
      </w:pPr>
      <w:r w:rsidRPr="0017113D">
        <w:rPr>
          <w:i/>
          <w:sz w:val="24"/>
          <w:szCs w:val="24"/>
        </w:rPr>
        <w:t>Employing cerebellar normalization and partial volume effects corrections improves the sensitivity of [</w:t>
      </w:r>
      <w:r w:rsidRPr="0017113D">
        <w:rPr>
          <w:i/>
          <w:sz w:val="24"/>
          <w:szCs w:val="24"/>
          <w:vertAlign w:val="superscript"/>
        </w:rPr>
        <w:t>18</w:t>
      </w:r>
      <w:r>
        <w:rPr>
          <w:i/>
          <w:sz w:val="24"/>
          <w:szCs w:val="24"/>
        </w:rPr>
        <w:t>F]-AV45</w:t>
      </w:r>
    </w:p>
    <w:p w:rsidR="00150EF6" w:rsidRPr="0017113D" w:rsidRDefault="00150EF6" w:rsidP="00150EF6">
      <w:pPr>
        <w:tabs>
          <w:tab w:val="left" w:pos="360"/>
        </w:tabs>
        <w:spacing w:line="480" w:lineRule="auto"/>
        <w:rPr>
          <w:sz w:val="24"/>
          <w:szCs w:val="24"/>
        </w:rPr>
      </w:pPr>
      <w:r>
        <w:rPr>
          <w:i/>
          <w:sz w:val="24"/>
          <w:szCs w:val="24"/>
        </w:rPr>
        <w:tab/>
      </w:r>
      <w:r w:rsidRPr="0017113D">
        <w:rPr>
          <w:i/>
          <w:sz w:val="24"/>
          <w:szCs w:val="24"/>
        </w:rPr>
        <w:t>Ex vivo</w:t>
      </w:r>
      <w:r w:rsidRPr="0017113D">
        <w:rPr>
          <w:sz w:val="24"/>
          <w:szCs w:val="24"/>
        </w:rPr>
        <w:t xml:space="preserve"> quantification of amyloid-β demonstrated appreciable amyloid deposition at 9 months and thus we used data from this time point to compare the effect of quantification methods on the sensitivity of [</w:t>
      </w:r>
      <w:r w:rsidRPr="0017113D">
        <w:rPr>
          <w:sz w:val="24"/>
          <w:szCs w:val="24"/>
          <w:vertAlign w:val="superscript"/>
        </w:rPr>
        <w:t>18</w:t>
      </w:r>
      <w:r w:rsidRPr="0017113D">
        <w:rPr>
          <w:sz w:val="24"/>
          <w:szCs w:val="24"/>
        </w:rPr>
        <w:t xml:space="preserve">F]-AV45. These comparisons are visualized in </w:t>
      </w:r>
      <w:r>
        <w:rPr>
          <w:sz w:val="24"/>
          <w:szCs w:val="24"/>
        </w:rPr>
        <w:t xml:space="preserve">Supplementary </w:t>
      </w:r>
      <w:r w:rsidRPr="0017113D">
        <w:rPr>
          <w:sz w:val="24"/>
          <w:szCs w:val="24"/>
        </w:rPr>
        <w:t>Fig.</w:t>
      </w:r>
      <w:r>
        <w:rPr>
          <w:sz w:val="24"/>
          <w:szCs w:val="24"/>
        </w:rPr>
        <w:t xml:space="preserve"> </w:t>
      </w:r>
      <w:r w:rsidRPr="0017113D">
        <w:rPr>
          <w:sz w:val="24"/>
          <w:szCs w:val="24"/>
        </w:rPr>
        <w:t>2</w:t>
      </w:r>
      <w:r>
        <w:rPr>
          <w:sz w:val="24"/>
          <w:szCs w:val="24"/>
        </w:rPr>
        <w:t xml:space="preserve">A-D </w:t>
      </w:r>
      <w:r w:rsidRPr="0017113D">
        <w:rPr>
          <w:sz w:val="24"/>
          <w:szCs w:val="24"/>
        </w:rPr>
        <w:t>with the empirical data in Table</w:t>
      </w:r>
      <w:r>
        <w:rPr>
          <w:sz w:val="24"/>
          <w:szCs w:val="24"/>
        </w:rPr>
        <w:t xml:space="preserve"> </w:t>
      </w:r>
      <w:r w:rsidRPr="0017113D">
        <w:rPr>
          <w:sz w:val="24"/>
          <w:szCs w:val="24"/>
        </w:rPr>
        <w:t>1. In the original data, minimal differences between genotypes were observed, and uptake values were lower in the striatum of TASTPM mice. PVEC increased the mean difference between WT and TASTPM in the cortex</w:t>
      </w:r>
      <w:r>
        <w:rPr>
          <w:sz w:val="24"/>
          <w:szCs w:val="24"/>
        </w:rPr>
        <w:t xml:space="preserve"> (+ 82.2%), thalamus (+ 143.8</w:t>
      </w:r>
      <w:r w:rsidRPr="0017113D">
        <w:rPr>
          <w:sz w:val="24"/>
          <w:szCs w:val="24"/>
        </w:rPr>
        <w:t>%)</w:t>
      </w:r>
      <w:r>
        <w:rPr>
          <w:sz w:val="24"/>
          <w:szCs w:val="24"/>
        </w:rPr>
        <w:t>, and hippocampus (+ 109.9</w:t>
      </w:r>
      <w:r w:rsidRPr="0017113D">
        <w:rPr>
          <w:sz w:val="24"/>
          <w:szCs w:val="24"/>
        </w:rPr>
        <w:t xml:space="preserve">%) but also increased the standard error and similarly </w:t>
      </w:r>
      <w:r w:rsidRPr="0017113D">
        <w:rPr>
          <w:sz w:val="24"/>
          <w:szCs w:val="24"/>
        </w:rPr>
        <w:lastRenderedPageBreak/>
        <w:t xml:space="preserve">demonstrated lower uptake in the striatum. Cerebellar normalization of the PVEC data further increased mean differences between WT and TASTPM </w:t>
      </w:r>
      <w:r>
        <w:rPr>
          <w:sz w:val="24"/>
          <w:szCs w:val="24"/>
        </w:rPr>
        <w:t>mice in the cortex (+ 59.8</w:t>
      </w:r>
      <w:r w:rsidRPr="0017113D">
        <w:rPr>
          <w:sz w:val="24"/>
          <w:szCs w:val="24"/>
        </w:rPr>
        <w:t>% v</w:t>
      </w:r>
      <w:r>
        <w:rPr>
          <w:sz w:val="24"/>
          <w:szCs w:val="24"/>
        </w:rPr>
        <w:t>ersu</w:t>
      </w:r>
      <w:r w:rsidRPr="0017113D">
        <w:rPr>
          <w:sz w:val="24"/>
          <w:szCs w:val="24"/>
        </w:rPr>
        <w:t xml:space="preserve">s PVEC alone) and led to positive changes in the striatum. Normalization substantially reduced the standard error in comparison to both the original and PVEC data resulting in significant differences in most regions. </w:t>
      </w:r>
    </w:p>
    <w:p w:rsidR="00150EF6" w:rsidRDefault="00150EF6" w:rsidP="00150EF6">
      <w:pPr>
        <w:rPr>
          <w:sz w:val="24"/>
          <w:szCs w:val="24"/>
        </w:rPr>
      </w:pPr>
      <w:r>
        <w:rPr>
          <w:sz w:val="24"/>
          <w:szCs w:val="24"/>
        </w:rPr>
        <w:br w:type="page"/>
      </w:r>
    </w:p>
    <w:p w:rsidR="00150EF6" w:rsidRPr="0017113D" w:rsidRDefault="00150EF6" w:rsidP="00150EF6">
      <w:pPr>
        <w:tabs>
          <w:tab w:val="left" w:pos="360"/>
        </w:tabs>
        <w:spacing w:line="480" w:lineRule="auto"/>
        <w:rPr>
          <w:sz w:val="24"/>
          <w:szCs w:val="24"/>
        </w:rPr>
      </w:pPr>
    </w:p>
    <w:p w:rsidR="00150EF6" w:rsidRPr="0017113D" w:rsidRDefault="00150EF6" w:rsidP="00150EF6">
      <w:pPr>
        <w:tabs>
          <w:tab w:val="left" w:pos="360"/>
        </w:tabs>
        <w:spacing w:line="480" w:lineRule="auto"/>
        <w:rPr>
          <w:sz w:val="24"/>
          <w:szCs w:val="24"/>
        </w:rPr>
      </w:pPr>
      <w:r w:rsidRPr="0017113D">
        <w:rPr>
          <w:noProof/>
          <w:sz w:val="24"/>
          <w:szCs w:val="24"/>
        </w:rPr>
        <w:drawing>
          <wp:inline distT="0" distB="0" distL="0" distR="0" wp14:anchorId="0E375B1D" wp14:editId="7CAF1490">
            <wp:extent cx="5265420" cy="2308225"/>
            <wp:effectExtent l="0" t="0" r="0" b="3175"/>
            <wp:docPr id="3" name="Picture 3" descr="PROMISE_2:users:Waldron_A:manuscripts:2013_3 Longitudinal:for uploading:figures:Fig.S1-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ISE_2:users:Waldron_A:manuscripts:2013_3 Longitudinal:for uploading:figures:Fig.S1-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5420" cy="2308225"/>
                    </a:xfrm>
                    <a:prstGeom prst="rect">
                      <a:avLst/>
                    </a:prstGeom>
                    <a:noFill/>
                    <a:ln>
                      <a:noFill/>
                    </a:ln>
                  </pic:spPr>
                </pic:pic>
              </a:graphicData>
            </a:graphic>
          </wp:inline>
        </w:drawing>
      </w:r>
    </w:p>
    <w:p w:rsidR="00150EF6" w:rsidRPr="0017113D" w:rsidRDefault="00150EF6" w:rsidP="00150EF6">
      <w:pPr>
        <w:tabs>
          <w:tab w:val="left" w:pos="360"/>
        </w:tabs>
        <w:spacing w:line="480" w:lineRule="auto"/>
        <w:rPr>
          <w:b/>
          <w:sz w:val="24"/>
          <w:szCs w:val="24"/>
        </w:rPr>
      </w:pPr>
    </w:p>
    <w:p w:rsidR="00150EF6" w:rsidRPr="0017113D" w:rsidRDefault="00150EF6" w:rsidP="00150EF6">
      <w:pPr>
        <w:tabs>
          <w:tab w:val="left" w:pos="360"/>
        </w:tabs>
        <w:spacing w:line="480" w:lineRule="auto"/>
        <w:rPr>
          <w:rFonts w:eastAsiaTheme="minorEastAsia"/>
          <w:sz w:val="24"/>
          <w:szCs w:val="24"/>
        </w:rPr>
      </w:pPr>
      <w:proofErr w:type="gramStart"/>
      <w:r>
        <w:rPr>
          <w:b/>
          <w:sz w:val="24"/>
          <w:szCs w:val="24"/>
        </w:rPr>
        <w:t xml:space="preserve">Supplementary </w:t>
      </w:r>
      <w:r w:rsidRPr="0017113D">
        <w:rPr>
          <w:b/>
          <w:sz w:val="24"/>
          <w:szCs w:val="24"/>
        </w:rPr>
        <w:t>Fig.</w:t>
      </w:r>
      <w:r>
        <w:rPr>
          <w:b/>
          <w:sz w:val="24"/>
          <w:szCs w:val="24"/>
        </w:rPr>
        <w:t xml:space="preserve"> </w:t>
      </w:r>
      <w:r w:rsidRPr="0017113D">
        <w:rPr>
          <w:b/>
          <w:sz w:val="24"/>
          <w:szCs w:val="24"/>
        </w:rPr>
        <w:t>1</w:t>
      </w:r>
      <w:r>
        <w:rPr>
          <w:b/>
          <w:sz w:val="24"/>
          <w:szCs w:val="24"/>
        </w:rPr>
        <w:t>.</w:t>
      </w:r>
      <w:proofErr w:type="gramEnd"/>
      <w:r w:rsidRPr="0017113D">
        <w:rPr>
          <w:b/>
          <w:sz w:val="24"/>
          <w:szCs w:val="24"/>
        </w:rPr>
        <w:t xml:space="preserve"> </w:t>
      </w:r>
      <w:proofErr w:type="gramStart"/>
      <w:r w:rsidRPr="0017113D">
        <w:rPr>
          <w:sz w:val="24"/>
          <w:szCs w:val="24"/>
        </w:rPr>
        <w:t>Graphical comparison of quantification methods for [</w:t>
      </w:r>
      <w:r w:rsidRPr="0017113D">
        <w:rPr>
          <w:sz w:val="24"/>
          <w:szCs w:val="24"/>
          <w:vertAlign w:val="superscript"/>
        </w:rPr>
        <w:t>18</w:t>
      </w:r>
      <w:r w:rsidRPr="0017113D">
        <w:rPr>
          <w:sz w:val="24"/>
          <w:szCs w:val="24"/>
        </w:rPr>
        <w:t>F]-AV45 uptake at 9 months of age.</w:t>
      </w:r>
      <w:proofErr w:type="gramEnd"/>
      <w:r w:rsidRPr="0017113D">
        <w:rPr>
          <w:sz w:val="24"/>
          <w:szCs w:val="24"/>
        </w:rPr>
        <w:t xml:space="preserve"> Differences between genotypes for each quantification method were evaluated with t-tests (with </w:t>
      </w:r>
      <w:proofErr w:type="spellStart"/>
      <w:r w:rsidRPr="0017113D">
        <w:rPr>
          <w:sz w:val="24"/>
          <w:szCs w:val="24"/>
        </w:rPr>
        <w:t>Sidak-Bonferroni</w:t>
      </w:r>
      <w:proofErr w:type="spellEnd"/>
      <w:r w:rsidRPr="0017113D">
        <w:rPr>
          <w:sz w:val="24"/>
          <w:szCs w:val="24"/>
        </w:rPr>
        <w:t xml:space="preserve"> correction),</w:t>
      </w:r>
      <w:r>
        <w:rPr>
          <w:sz w:val="24"/>
          <w:szCs w:val="24"/>
        </w:rPr>
        <w:t xml:space="preserve"> </w:t>
      </w:r>
      <w:r>
        <w:rPr>
          <w:rFonts w:eastAsiaTheme="minorEastAsia"/>
          <w:sz w:val="24"/>
          <w:szCs w:val="24"/>
        </w:rPr>
        <w:t>****</w:t>
      </w:r>
      <w:r w:rsidRPr="0017113D">
        <w:rPr>
          <w:rFonts w:eastAsiaTheme="minorEastAsia"/>
          <w:sz w:val="24"/>
          <w:szCs w:val="24"/>
        </w:rPr>
        <w:t>p &lt; 0.0001</w:t>
      </w:r>
    </w:p>
    <w:p w:rsidR="00150EF6" w:rsidRDefault="00150EF6" w:rsidP="00150EF6">
      <w:pPr>
        <w:rPr>
          <w:b/>
          <w:sz w:val="24"/>
          <w:szCs w:val="24"/>
        </w:rPr>
      </w:pPr>
      <w:r>
        <w:rPr>
          <w:b/>
          <w:sz w:val="24"/>
          <w:szCs w:val="24"/>
        </w:rPr>
        <w:br w:type="page"/>
      </w:r>
    </w:p>
    <w:p w:rsidR="00150EF6" w:rsidRPr="0017113D" w:rsidRDefault="00150EF6" w:rsidP="00150EF6">
      <w:pPr>
        <w:tabs>
          <w:tab w:val="left" w:pos="360"/>
        </w:tabs>
        <w:spacing w:line="480" w:lineRule="auto"/>
        <w:rPr>
          <w:b/>
          <w:sz w:val="24"/>
          <w:szCs w:val="24"/>
        </w:rPr>
      </w:pPr>
    </w:p>
    <w:p w:rsidR="00150EF6" w:rsidRPr="0017113D" w:rsidRDefault="00150EF6" w:rsidP="00150EF6">
      <w:pPr>
        <w:tabs>
          <w:tab w:val="left" w:pos="360"/>
        </w:tabs>
        <w:spacing w:line="480" w:lineRule="auto"/>
        <w:rPr>
          <w:b/>
          <w:sz w:val="24"/>
          <w:szCs w:val="24"/>
        </w:rPr>
      </w:pPr>
      <w:r w:rsidRPr="0017113D">
        <w:rPr>
          <w:b/>
          <w:noProof/>
          <w:sz w:val="24"/>
          <w:szCs w:val="24"/>
        </w:rPr>
        <w:drawing>
          <wp:inline distT="0" distB="0" distL="0" distR="0" wp14:anchorId="63B4DEE2" wp14:editId="2CD766A2">
            <wp:extent cx="356863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8630" cy="2971800"/>
                    </a:xfrm>
                    <a:prstGeom prst="rect">
                      <a:avLst/>
                    </a:prstGeom>
                    <a:noFill/>
                    <a:ln>
                      <a:noFill/>
                    </a:ln>
                  </pic:spPr>
                </pic:pic>
              </a:graphicData>
            </a:graphic>
          </wp:inline>
        </w:drawing>
      </w:r>
    </w:p>
    <w:p w:rsidR="00150EF6" w:rsidRPr="0017113D" w:rsidRDefault="00150EF6" w:rsidP="00150EF6">
      <w:pPr>
        <w:tabs>
          <w:tab w:val="left" w:pos="360"/>
        </w:tabs>
        <w:spacing w:line="480" w:lineRule="auto"/>
        <w:rPr>
          <w:sz w:val="24"/>
          <w:szCs w:val="24"/>
        </w:rPr>
      </w:pPr>
      <w:proofErr w:type="gramStart"/>
      <w:r>
        <w:rPr>
          <w:b/>
          <w:sz w:val="24"/>
          <w:szCs w:val="24"/>
        </w:rPr>
        <w:t xml:space="preserve">Supplementary Table </w:t>
      </w:r>
      <w:r w:rsidRPr="0017113D">
        <w:rPr>
          <w:b/>
          <w:sz w:val="24"/>
          <w:szCs w:val="24"/>
        </w:rPr>
        <w:t>1</w:t>
      </w:r>
      <w:r>
        <w:rPr>
          <w:b/>
          <w:sz w:val="24"/>
          <w:szCs w:val="24"/>
        </w:rPr>
        <w:t>.</w:t>
      </w:r>
      <w:proofErr w:type="gramEnd"/>
      <w:r w:rsidRPr="0017113D">
        <w:rPr>
          <w:b/>
          <w:sz w:val="24"/>
          <w:szCs w:val="24"/>
        </w:rPr>
        <w:t xml:space="preserve"> </w:t>
      </w:r>
      <w:proofErr w:type="gramStart"/>
      <w:r w:rsidRPr="0017113D">
        <w:rPr>
          <w:sz w:val="24"/>
          <w:szCs w:val="24"/>
        </w:rPr>
        <w:t>Changes in mean differences of [</w:t>
      </w:r>
      <w:r w:rsidRPr="0017113D">
        <w:rPr>
          <w:sz w:val="24"/>
          <w:szCs w:val="24"/>
          <w:vertAlign w:val="superscript"/>
        </w:rPr>
        <w:t>18</w:t>
      </w:r>
      <w:r w:rsidRPr="0017113D">
        <w:rPr>
          <w:sz w:val="24"/>
          <w:szCs w:val="24"/>
        </w:rPr>
        <w:t>F]-AV45 uptake between WT and TASTPM mice at 9 months of age dependent on quantification.</w:t>
      </w:r>
      <w:proofErr w:type="gramEnd"/>
      <w:r w:rsidRPr="0017113D">
        <w:rPr>
          <w:sz w:val="24"/>
          <w:szCs w:val="24"/>
        </w:rPr>
        <w:t xml:space="preserve"> </w:t>
      </w:r>
    </w:p>
    <w:p w:rsidR="00150EF6" w:rsidRPr="0017113D" w:rsidRDefault="00150EF6" w:rsidP="00150EF6">
      <w:pPr>
        <w:tabs>
          <w:tab w:val="left" w:pos="360"/>
        </w:tabs>
        <w:spacing w:line="480" w:lineRule="auto"/>
        <w:rPr>
          <w:sz w:val="24"/>
          <w:szCs w:val="24"/>
        </w:rPr>
      </w:pPr>
    </w:p>
    <w:p w:rsidR="00150EF6" w:rsidRPr="0017113D" w:rsidRDefault="00150EF6" w:rsidP="00150EF6">
      <w:pPr>
        <w:tabs>
          <w:tab w:val="left" w:pos="360"/>
        </w:tabs>
        <w:spacing w:line="480" w:lineRule="auto"/>
        <w:rPr>
          <w:sz w:val="24"/>
          <w:szCs w:val="24"/>
        </w:rPr>
      </w:pPr>
    </w:p>
    <w:p w:rsidR="00150EF6" w:rsidRPr="0017113D" w:rsidRDefault="00150EF6" w:rsidP="00150EF6">
      <w:pPr>
        <w:tabs>
          <w:tab w:val="left" w:pos="360"/>
        </w:tabs>
        <w:spacing w:line="480" w:lineRule="auto"/>
        <w:rPr>
          <w:b/>
          <w:sz w:val="24"/>
          <w:szCs w:val="24"/>
        </w:rPr>
      </w:pPr>
    </w:p>
    <w:p w:rsidR="00150EF6" w:rsidRDefault="00150EF6" w:rsidP="00150EF6">
      <w:pPr>
        <w:tabs>
          <w:tab w:val="left" w:pos="360"/>
        </w:tabs>
        <w:spacing w:line="480" w:lineRule="auto"/>
        <w:rPr>
          <w:b/>
          <w:sz w:val="24"/>
          <w:szCs w:val="24"/>
        </w:rPr>
      </w:pPr>
      <w:r w:rsidRPr="0017113D">
        <w:rPr>
          <w:b/>
          <w:noProof/>
          <w:sz w:val="24"/>
          <w:szCs w:val="24"/>
        </w:rPr>
        <w:lastRenderedPageBreak/>
        <w:drawing>
          <wp:inline distT="0" distB="0" distL="0" distR="0" wp14:anchorId="5E892938" wp14:editId="4EFF376A">
            <wp:extent cx="5265420" cy="4380230"/>
            <wp:effectExtent l="0" t="0" r="0" b="0"/>
            <wp:docPr id="4" name="Picture 4" descr="PROMISE_2:users:Waldron_A:manuscripts:2013_3 Longitudinal:for uploading:figures:Fig.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ISE_2:users:Waldron_A:manuscripts:2013_3 Longitudinal:for uploading:figures:Fig.S.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4380230"/>
                    </a:xfrm>
                    <a:prstGeom prst="rect">
                      <a:avLst/>
                    </a:prstGeom>
                    <a:noFill/>
                    <a:ln>
                      <a:noFill/>
                    </a:ln>
                  </pic:spPr>
                </pic:pic>
              </a:graphicData>
            </a:graphic>
          </wp:inline>
        </w:drawing>
      </w:r>
    </w:p>
    <w:p w:rsidR="00150EF6" w:rsidRPr="0017113D" w:rsidRDefault="00150EF6" w:rsidP="00150EF6">
      <w:pPr>
        <w:tabs>
          <w:tab w:val="left" w:pos="360"/>
        </w:tabs>
        <w:spacing w:line="480" w:lineRule="auto"/>
        <w:rPr>
          <w:sz w:val="24"/>
          <w:szCs w:val="24"/>
        </w:rPr>
      </w:pPr>
      <w:proofErr w:type="gramStart"/>
      <w:r>
        <w:rPr>
          <w:b/>
          <w:sz w:val="24"/>
          <w:szCs w:val="24"/>
        </w:rPr>
        <w:t xml:space="preserve">Supplementary </w:t>
      </w:r>
      <w:r w:rsidRPr="0017113D">
        <w:rPr>
          <w:b/>
          <w:sz w:val="24"/>
          <w:szCs w:val="24"/>
        </w:rPr>
        <w:t>Fig.</w:t>
      </w:r>
      <w:r>
        <w:rPr>
          <w:b/>
          <w:sz w:val="24"/>
          <w:szCs w:val="24"/>
        </w:rPr>
        <w:t xml:space="preserve"> </w:t>
      </w:r>
      <w:r w:rsidRPr="0017113D">
        <w:rPr>
          <w:b/>
          <w:sz w:val="24"/>
          <w:szCs w:val="24"/>
        </w:rPr>
        <w:t>2</w:t>
      </w:r>
      <w:r>
        <w:rPr>
          <w:b/>
          <w:sz w:val="24"/>
          <w:szCs w:val="24"/>
        </w:rPr>
        <w:t>.</w:t>
      </w:r>
      <w:proofErr w:type="gramEnd"/>
      <w:r w:rsidRPr="0017113D">
        <w:rPr>
          <w:sz w:val="24"/>
          <w:szCs w:val="24"/>
        </w:rPr>
        <w:t xml:space="preserve"> Re</w:t>
      </w:r>
      <w:r>
        <w:rPr>
          <w:sz w:val="24"/>
          <w:szCs w:val="24"/>
        </w:rPr>
        <w:t>presentative chromatograms of (A</w:t>
      </w:r>
      <w:r w:rsidRPr="0017113D">
        <w:rPr>
          <w:sz w:val="24"/>
          <w:szCs w:val="24"/>
        </w:rPr>
        <w:t>) plasma and (</w:t>
      </w:r>
      <w:r>
        <w:rPr>
          <w:sz w:val="24"/>
          <w:szCs w:val="24"/>
        </w:rPr>
        <w:t>B</w:t>
      </w:r>
      <w:r w:rsidRPr="0017113D">
        <w:rPr>
          <w:sz w:val="24"/>
          <w:szCs w:val="24"/>
        </w:rPr>
        <w:t xml:space="preserve">) brain samples at 30 min </w:t>
      </w:r>
      <w:proofErr w:type="spellStart"/>
      <w:r w:rsidRPr="0017113D">
        <w:rPr>
          <w:sz w:val="24"/>
          <w:szCs w:val="24"/>
        </w:rPr>
        <w:t>p.i</w:t>
      </w:r>
      <w:proofErr w:type="spellEnd"/>
      <w:r>
        <w:rPr>
          <w:sz w:val="24"/>
          <w:szCs w:val="24"/>
        </w:rPr>
        <w:t>.</w:t>
      </w:r>
      <w:r w:rsidRPr="0017113D">
        <w:rPr>
          <w:sz w:val="24"/>
          <w:szCs w:val="24"/>
        </w:rPr>
        <w:t xml:space="preserve"> of [</w:t>
      </w:r>
      <w:r w:rsidRPr="0017113D">
        <w:rPr>
          <w:sz w:val="24"/>
          <w:szCs w:val="24"/>
          <w:vertAlign w:val="superscript"/>
        </w:rPr>
        <w:t>18</w:t>
      </w:r>
      <w:r w:rsidRPr="0017113D">
        <w:rPr>
          <w:sz w:val="24"/>
          <w:szCs w:val="24"/>
        </w:rPr>
        <w:t>F]-AV45 in young WT mice</w:t>
      </w:r>
      <w:r>
        <w:rPr>
          <w:sz w:val="24"/>
          <w:szCs w:val="24"/>
        </w:rPr>
        <w:t>.</w:t>
      </w:r>
    </w:p>
    <w:p w:rsidR="00150EF6" w:rsidRPr="0017113D" w:rsidRDefault="00150EF6" w:rsidP="00150EF6">
      <w:pPr>
        <w:tabs>
          <w:tab w:val="left" w:pos="360"/>
        </w:tabs>
        <w:spacing w:line="480" w:lineRule="auto"/>
        <w:rPr>
          <w:sz w:val="24"/>
          <w:szCs w:val="24"/>
        </w:rPr>
      </w:pPr>
    </w:p>
    <w:p w:rsidR="00150EF6" w:rsidRDefault="00150EF6" w:rsidP="00150EF6">
      <w:pPr>
        <w:rPr>
          <w:sz w:val="24"/>
          <w:szCs w:val="24"/>
        </w:rPr>
      </w:pPr>
      <w:r>
        <w:rPr>
          <w:sz w:val="24"/>
          <w:szCs w:val="24"/>
        </w:rPr>
        <w:br w:type="page"/>
      </w:r>
    </w:p>
    <w:p w:rsidR="00150EF6" w:rsidRPr="0017113D" w:rsidRDefault="00150EF6" w:rsidP="00150EF6">
      <w:pPr>
        <w:tabs>
          <w:tab w:val="left" w:pos="360"/>
        </w:tabs>
        <w:rPr>
          <w:sz w:val="24"/>
          <w:szCs w:val="24"/>
        </w:rPr>
      </w:pPr>
    </w:p>
    <w:tbl>
      <w:tblPr>
        <w:tblStyle w:val="LightShading"/>
        <w:tblW w:w="0" w:type="auto"/>
        <w:tblLook w:val="04A0" w:firstRow="1" w:lastRow="0" w:firstColumn="1" w:lastColumn="0" w:noHBand="0" w:noVBand="1"/>
      </w:tblPr>
      <w:tblGrid>
        <w:gridCol w:w="952"/>
        <w:gridCol w:w="1232"/>
        <w:gridCol w:w="1296"/>
        <w:gridCol w:w="1614"/>
      </w:tblGrid>
      <w:tr w:rsidR="00150EF6" w:rsidRPr="0017113D" w:rsidTr="000141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rPr>
                <w:b w:val="0"/>
              </w:rPr>
            </w:pPr>
            <w:r w:rsidRPr="0017113D">
              <w:t>Time pi</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pPr>
            <w:r w:rsidRPr="0017113D">
              <w:t>Young WT</w:t>
            </w:r>
          </w:p>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rPr>
                <w:b w:val="0"/>
              </w:rPr>
            </w:pPr>
            <w:r w:rsidRPr="0017113D">
              <w:t>(3 M)</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pPr>
            <w:r w:rsidRPr="0017113D">
              <w:t>Aged WT</w:t>
            </w:r>
          </w:p>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rPr>
                <w:b w:val="0"/>
              </w:rPr>
            </w:pPr>
            <w:r w:rsidRPr="0017113D">
              <w:t>(15 M)</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pPr>
            <w:r w:rsidRPr="0017113D">
              <w:t>Aged TASTPM</w:t>
            </w:r>
          </w:p>
          <w:p w:rsidR="00150EF6" w:rsidRPr="0017113D" w:rsidRDefault="00150EF6" w:rsidP="00014174">
            <w:pPr>
              <w:tabs>
                <w:tab w:val="left" w:pos="360"/>
              </w:tabs>
              <w:jc w:val="center"/>
              <w:cnfStyle w:val="100000000000" w:firstRow="1" w:lastRow="0" w:firstColumn="0" w:lastColumn="0" w:oddVBand="0" w:evenVBand="0" w:oddHBand="0" w:evenHBand="0" w:firstRowFirstColumn="0" w:firstRowLastColumn="0" w:lastRowFirstColumn="0" w:lastRowLastColumn="0"/>
              <w:rPr>
                <w:b w:val="0"/>
              </w:rPr>
            </w:pPr>
            <w:r w:rsidRPr="0017113D">
              <w:t>(15 M)</w:t>
            </w:r>
          </w:p>
        </w:tc>
      </w:tr>
      <w:tr w:rsidR="00150EF6" w:rsidRPr="0017113D" w:rsidTr="0001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rPr>
                <w:b w:val="0"/>
              </w:rPr>
            </w:pPr>
            <w:r w:rsidRPr="0017113D">
              <w:t>5</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27.1 ± 7.3</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27.5 ± 0.9</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28.48 ± 10.6</w:t>
            </w:r>
          </w:p>
        </w:tc>
      </w:tr>
      <w:tr w:rsidR="00150EF6" w:rsidRPr="0017113D" w:rsidTr="00014174">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rPr>
                <w:b w:val="0"/>
              </w:rPr>
            </w:pPr>
            <w:r w:rsidRPr="0017113D">
              <w:t>10</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7.92 ± 0.7</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14.66 ± 2.9</w:t>
            </w:r>
          </w:p>
        </w:tc>
        <w:tc>
          <w:tcPr>
            <w:tcW w:w="0" w:type="auto"/>
            <w:tcBorders>
              <w:top w:val="single" w:sz="4" w:space="0" w:color="FFFFFF" w:themeColor="background1"/>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12.02 ± 3.6</w:t>
            </w:r>
          </w:p>
        </w:tc>
      </w:tr>
      <w:tr w:rsidR="00150EF6" w:rsidRPr="0017113D" w:rsidTr="000141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tcPr>
          <w:p w:rsidR="00150EF6" w:rsidRPr="0017113D" w:rsidRDefault="00150EF6" w:rsidP="00014174">
            <w:pPr>
              <w:tabs>
                <w:tab w:val="left" w:pos="360"/>
              </w:tabs>
              <w:rPr>
                <w:b w:val="0"/>
              </w:rPr>
            </w:pPr>
            <w:r w:rsidRPr="0017113D">
              <w:t>30</w:t>
            </w:r>
          </w:p>
        </w:tc>
        <w:tc>
          <w:tcPr>
            <w:tcW w:w="0" w:type="auto"/>
            <w:tcBorders>
              <w:top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3.03 ± 2.9</w:t>
            </w:r>
          </w:p>
        </w:tc>
        <w:tc>
          <w:tcPr>
            <w:tcW w:w="0" w:type="auto"/>
            <w:tcBorders>
              <w:top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4.40 ± 3.9</w:t>
            </w:r>
          </w:p>
        </w:tc>
        <w:tc>
          <w:tcPr>
            <w:tcW w:w="0" w:type="auto"/>
            <w:tcBorders>
              <w:top w:val="single" w:sz="4" w:space="0" w:color="FFFFFF" w:themeColor="background1"/>
            </w:tcBorders>
          </w:tcPr>
          <w:p w:rsidR="00150EF6" w:rsidRPr="0017113D" w:rsidRDefault="00150EF6" w:rsidP="00014174">
            <w:pPr>
              <w:tabs>
                <w:tab w:val="left" w:pos="360"/>
              </w:tabs>
              <w:jc w:val="center"/>
              <w:cnfStyle w:val="000000100000" w:firstRow="0" w:lastRow="0" w:firstColumn="0" w:lastColumn="0" w:oddVBand="0" w:evenVBand="0" w:oddHBand="1" w:evenHBand="0" w:firstRowFirstColumn="0" w:firstRowLastColumn="0" w:lastRowFirstColumn="0" w:lastRowLastColumn="0"/>
            </w:pPr>
            <w:r w:rsidRPr="0017113D">
              <w:t>5.97 ± 5.2</w:t>
            </w:r>
          </w:p>
        </w:tc>
      </w:tr>
      <w:tr w:rsidR="00150EF6" w:rsidRPr="0017113D" w:rsidTr="00014174">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tcPr>
          <w:p w:rsidR="00150EF6" w:rsidRPr="0017113D" w:rsidRDefault="00150EF6" w:rsidP="00014174">
            <w:pPr>
              <w:tabs>
                <w:tab w:val="left" w:pos="360"/>
              </w:tabs>
              <w:rPr>
                <w:b w:val="0"/>
              </w:rPr>
            </w:pPr>
            <w:r w:rsidRPr="0017113D">
              <w:t>60</w:t>
            </w:r>
          </w:p>
        </w:tc>
        <w:tc>
          <w:tcPr>
            <w:tcW w:w="0" w:type="auto"/>
            <w:tcBorders>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5.21</w:t>
            </w:r>
          </w:p>
        </w:tc>
        <w:tc>
          <w:tcPr>
            <w:tcW w:w="0" w:type="auto"/>
            <w:tcBorders>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0</w:t>
            </w:r>
          </w:p>
        </w:tc>
        <w:tc>
          <w:tcPr>
            <w:tcW w:w="0" w:type="auto"/>
            <w:tcBorders>
              <w:bottom w:val="single" w:sz="4" w:space="0" w:color="FFFFFF" w:themeColor="background1"/>
            </w:tcBorders>
          </w:tcPr>
          <w:p w:rsidR="00150EF6" w:rsidRPr="0017113D" w:rsidRDefault="00150EF6" w:rsidP="00014174">
            <w:pPr>
              <w:tabs>
                <w:tab w:val="left" w:pos="360"/>
              </w:tabs>
              <w:jc w:val="center"/>
              <w:cnfStyle w:val="000000000000" w:firstRow="0" w:lastRow="0" w:firstColumn="0" w:lastColumn="0" w:oddVBand="0" w:evenVBand="0" w:oddHBand="0" w:evenHBand="0" w:firstRowFirstColumn="0" w:firstRowLastColumn="0" w:lastRowFirstColumn="0" w:lastRowLastColumn="0"/>
            </w:pPr>
            <w:r w:rsidRPr="0017113D">
              <w:t>0</w:t>
            </w:r>
          </w:p>
        </w:tc>
      </w:tr>
    </w:tbl>
    <w:p w:rsidR="00150EF6" w:rsidRPr="0017113D" w:rsidRDefault="00150EF6" w:rsidP="00150EF6">
      <w:pPr>
        <w:tabs>
          <w:tab w:val="left" w:pos="360"/>
        </w:tabs>
        <w:rPr>
          <w:sz w:val="24"/>
          <w:szCs w:val="24"/>
        </w:rPr>
      </w:pPr>
    </w:p>
    <w:p w:rsidR="00150EF6" w:rsidRPr="0017113D" w:rsidRDefault="00150EF6" w:rsidP="00150EF6">
      <w:pPr>
        <w:tabs>
          <w:tab w:val="left" w:pos="360"/>
        </w:tabs>
        <w:spacing w:line="480" w:lineRule="auto"/>
        <w:rPr>
          <w:sz w:val="24"/>
          <w:szCs w:val="24"/>
        </w:rPr>
      </w:pPr>
      <w:proofErr w:type="gramStart"/>
      <w:r>
        <w:rPr>
          <w:b/>
          <w:sz w:val="24"/>
          <w:szCs w:val="24"/>
        </w:rPr>
        <w:t xml:space="preserve">Supplementary </w:t>
      </w:r>
      <w:r w:rsidRPr="0017113D">
        <w:rPr>
          <w:b/>
          <w:sz w:val="24"/>
          <w:szCs w:val="24"/>
        </w:rPr>
        <w:t>Table 2</w:t>
      </w:r>
      <w:r>
        <w:rPr>
          <w:b/>
          <w:sz w:val="24"/>
          <w:szCs w:val="24"/>
        </w:rPr>
        <w:t>.</w:t>
      </w:r>
      <w:proofErr w:type="gramEnd"/>
      <w:r w:rsidRPr="0017113D">
        <w:rPr>
          <w:sz w:val="24"/>
          <w:szCs w:val="24"/>
        </w:rPr>
        <w:t xml:space="preserve"> Levels of intact [</w:t>
      </w:r>
      <w:r w:rsidRPr="0017113D">
        <w:rPr>
          <w:sz w:val="24"/>
          <w:szCs w:val="24"/>
          <w:vertAlign w:val="superscript"/>
        </w:rPr>
        <w:t>18</w:t>
      </w:r>
      <w:r w:rsidRPr="0017113D">
        <w:rPr>
          <w:sz w:val="24"/>
          <w:szCs w:val="24"/>
        </w:rPr>
        <w:t xml:space="preserve">F]-AV45 in plasma at multiple time points </w:t>
      </w:r>
      <w:proofErr w:type="spellStart"/>
      <w:r w:rsidRPr="0017113D">
        <w:rPr>
          <w:sz w:val="24"/>
          <w:szCs w:val="24"/>
        </w:rPr>
        <w:t>p.i</w:t>
      </w:r>
      <w:proofErr w:type="spellEnd"/>
      <w:r w:rsidRPr="0017113D">
        <w:rPr>
          <w:sz w:val="24"/>
          <w:szCs w:val="24"/>
        </w:rPr>
        <w:t>.</w:t>
      </w:r>
    </w:p>
    <w:p w:rsidR="00150EF6" w:rsidRDefault="00150EF6" w:rsidP="00150EF6">
      <w:pPr>
        <w:rPr>
          <w:sz w:val="24"/>
          <w:szCs w:val="24"/>
        </w:rPr>
      </w:pPr>
      <w:r>
        <w:rPr>
          <w:sz w:val="24"/>
          <w:szCs w:val="24"/>
        </w:rPr>
        <w:br w:type="page"/>
      </w:r>
    </w:p>
    <w:p w:rsidR="00150EF6" w:rsidRPr="0017113D" w:rsidRDefault="00150EF6" w:rsidP="00150EF6">
      <w:pPr>
        <w:tabs>
          <w:tab w:val="left" w:pos="360"/>
        </w:tabs>
        <w:spacing w:line="480" w:lineRule="auto"/>
        <w:rPr>
          <w:sz w:val="24"/>
          <w:szCs w:val="24"/>
        </w:rPr>
      </w:pPr>
    </w:p>
    <w:p w:rsidR="00150EF6" w:rsidRPr="0017113D" w:rsidRDefault="00150EF6" w:rsidP="00150EF6">
      <w:pPr>
        <w:tabs>
          <w:tab w:val="left" w:pos="360"/>
        </w:tabs>
        <w:spacing w:line="480" w:lineRule="auto"/>
        <w:rPr>
          <w:sz w:val="24"/>
          <w:szCs w:val="24"/>
        </w:rPr>
      </w:pPr>
      <w:r w:rsidRPr="0017113D">
        <w:rPr>
          <w:noProof/>
          <w:sz w:val="24"/>
          <w:szCs w:val="24"/>
        </w:rPr>
        <w:drawing>
          <wp:inline distT="0" distB="0" distL="0" distR="0" wp14:anchorId="2FFDB0D4" wp14:editId="32758E42">
            <wp:extent cx="3425125" cy="2301436"/>
            <wp:effectExtent l="0" t="0" r="444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_JA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125" cy="2301436"/>
                    </a:xfrm>
                    <a:prstGeom prst="rect">
                      <a:avLst/>
                    </a:prstGeom>
                  </pic:spPr>
                </pic:pic>
              </a:graphicData>
            </a:graphic>
          </wp:inline>
        </w:drawing>
      </w:r>
    </w:p>
    <w:p w:rsidR="00150EF6" w:rsidRPr="0017113D" w:rsidRDefault="00150EF6" w:rsidP="00150EF6">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24"/>
        </w:rPr>
      </w:pPr>
      <w:proofErr w:type="gramStart"/>
      <w:r>
        <w:rPr>
          <w:b/>
          <w:sz w:val="24"/>
          <w:szCs w:val="24"/>
        </w:rPr>
        <w:t xml:space="preserve">Supplementary </w:t>
      </w:r>
      <w:r w:rsidRPr="0017113D">
        <w:rPr>
          <w:b/>
          <w:sz w:val="24"/>
          <w:szCs w:val="24"/>
        </w:rPr>
        <w:t>Fig.</w:t>
      </w:r>
      <w:r>
        <w:rPr>
          <w:b/>
          <w:sz w:val="24"/>
          <w:szCs w:val="24"/>
        </w:rPr>
        <w:t xml:space="preserve"> </w:t>
      </w:r>
      <w:r w:rsidRPr="0017113D">
        <w:rPr>
          <w:b/>
          <w:sz w:val="24"/>
          <w:szCs w:val="24"/>
        </w:rPr>
        <w:t>3</w:t>
      </w:r>
      <w:r>
        <w:rPr>
          <w:b/>
          <w:sz w:val="24"/>
          <w:szCs w:val="24"/>
        </w:rPr>
        <w:t>.</w:t>
      </w:r>
      <w:proofErr w:type="gramEnd"/>
      <w:r w:rsidRPr="0017113D">
        <w:rPr>
          <w:sz w:val="24"/>
          <w:szCs w:val="24"/>
        </w:rPr>
        <w:t xml:space="preserve"> </w:t>
      </w:r>
      <w:proofErr w:type="gramStart"/>
      <w:r w:rsidRPr="0017113D">
        <w:rPr>
          <w:sz w:val="24"/>
          <w:szCs w:val="24"/>
        </w:rPr>
        <w:t xml:space="preserve">4G8 </w:t>
      </w:r>
      <w:proofErr w:type="spellStart"/>
      <w:r w:rsidRPr="0017113D">
        <w:rPr>
          <w:sz w:val="24"/>
          <w:szCs w:val="24"/>
        </w:rPr>
        <w:t>immunostaining</w:t>
      </w:r>
      <w:proofErr w:type="spellEnd"/>
      <w:r w:rsidRPr="0017113D">
        <w:rPr>
          <w:sz w:val="24"/>
          <w:szCs w:val="24"/>
        </w:rPr>
        <w:t xml:space="preserve"> at 15 months in TASTPM mice in multiple brain regions and in the cerebellum of WT mice.</w:t>
      </w:r>
      <w:proofErr w:type="gramEnd"/>
      <w:r w:rsidRPr="0017113D">
        <w:rPr>
          <w:sz w:val="24"/>
          <w:szCs w:val="24"/>
        </w:rPr>
        <w:t xml:space="preserve"> </w:t>
      </w:r>
    </w:p>
    <w:p w:rsidR="00150EF6" w:rsidRPr="0017113D" w:rsidRDefault="00150EF6" w:rsidP="00150EF6">
      <w:pPr>
        <w:tabs>
          <w:tab w:val="left" w:pos="360"/>
        </w:tabs>
        <w:spacing w:line="480" w:lineRule="auto"/>
        <w:rPr>
          <w:sz w:val="24"/>
          <w:szCs w:val="24"/>
        </w:rPr>
      </w:pPr>
    </w:p>
    <w:p w:rsidR="00150EF6" w:rsidRPr="0017113D" w:rsidRDefault="00150EF6" w:rsidP="00150EF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4"/>
          <w:szCs w:val="24"/>
        </w:rPr>
      </w:pPr>
    </w:p>
    <w:p w:rsidR="00150EF6" w:rsidRPr="0017113D" w:rsidRDefault="00150EF6" w:rsidP="00150EF6">
      <w:pPr>
        <w:tabs>
          <w:tab w:val="left" w:pos="360"/>
        </w:tabs>
        <w:spacing w:line="480" w:lineRule="auto"/>
        <w:rPr>
          <w:b/>
          <w:sz w:val="24"/>
          <w:szCs w:val="24"/>
        </w:rPr>
      </w:pPr>
    </w:p>
    <w:p w:rsidR="00A62C8F" w:rsidRDefault="00A62C8F">
      <w:bookmarkStart w:id="0" w:name="_GoBack"/>
      <w:bookmarkEnd w:id="0"/>
    </w:p>
    <w:sectPr w:rsidR="00A62C8F" w:rsidSect="0017113D">
      <w:footerReference w:type="even" r:id="rId9"/>
      <w:footerReference w:type="default" r:id="rId10"/>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04" w:rsidRDefault="00150EF6" w:rsidP="00084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E04" w:rsidRDefault="00150EF6" w:rsidP="000D35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04" w:rsidRDefault="00150EF6" w:rsidP="00084E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01E04" w:rsidRDefault="00150EF6" w:rsidP="000D35B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6"/>
    <w:rsid w:val="00150EF6"/>
    <w:rsid w:val="00A6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50EF6"/>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150EF6"/>
    <w:pPr>
      <w:tabs>
        <w:tab w:val="center" w:pos="4320"/>
        <w:tab w:val="right" w:pos="8640"/>
      </w:tabs>
      <w:spacing w:after="0" w:line="240" w:lineRule="auto"/>
    </w:pPr>
    <w:rPr>
      <w:rFonts w:ascii="Times New Roman" w:eastAsia="Times New Roman" w:hAnsi="Times New Roman" w:cs="Times New Roman"/>
      <w:szCs w:val="20"/>
      <w:lang w:val="nl-BE"/>
    </w:rPr>
  </w:style>
  <w:style w:type="character" w:customStyle="1" w:styleId="FooterChar">
    <w:name w:val="Footer Char"/>
    <w:basedOn w:val="DefaultParagraphFont"/>
    <w:link w:val="Footer"/>
    <w:uiPriority w:val="99"/>
    <w:rsid w:val="00150EF6"/>
    <w:rPr>
      <w:rFonts w:ascii="Times New Roman" w:eastAsia="Times New Roman" w:hAnsi="Times New Roman" w:cs="Times New Roman"/>
      <w:szCs w:val="20"/>
      <w:lang w:val="nl-BE"/>
    </w:rPr>
  </w:style>
  <w:style w:type="character" w:styleId="PageNumber">
    <w:name w:val="page number"/>
    <w:basedOn w:val="DefaultParagraphFont"/>
    <w:uiPriority w:val="99"/>
    <w:semiHidden/>
    <w:unhideWhenUsed/>
    <w:rsid w:val="00150EF6"/>
  </w:style>
  <w:style w:type="paragraph" w:styleId="BalloonText">
    <w:name w:val="Balloon Text"/>
    <w:basedOn w:val="Normal"/>
    <w:link w:val="BalloonTextChar"/>
    <w:uiPriority w:val="99"/>
    <w:semiHidden/>
    <w:unhideWhenUsed/>
    <w:rsid w:val="0015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50EF6"/>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150EF6"/>
    <w:pPr>
      <w:tabs>
        <w:tab w:val="center" w:pos="4320"/>
        <w:tab w:val="right" w:pos="8640"/>
      </w:tabs>
      <w:spacing w:after="0" w:line="240" w:lineRule="auto"/>
    </w:pPr>
    <w:rPr>
      <w:rFonts w:ascii="Times New Roman" w:eastAsia="Times New Roman" w:hAnsi="Times New Roman" w:cs="Times New Roman"/>
      <w:szCs w:val="20"/>
      <w:lang w:val="nl-BE"/>
    </w:rPr>
  </w:style>
  <w:style w:type="character" w:customStyle="1" w:styleId="FooterChar">
    <w:name w:val="Footer Char"/>
    <w:basedOn w:val="DefaultParagraphFont"/>
    <w:link w:val="Footer"/>
    <w:uiPriority w:val="99"/>
    <w:rsid w:val="00150EF6"/>
    <w:rPr>
      <w:rFonts w:ascii="Times New Roman" w:eastAsia="Times New Roman" w:hAnsi="Times New Roman" w:cs="Times New Roman"/>
      <w:szCs w:val="20"/>
      <w:lang w:val="nl-BE"/>
    </w:rPr>
  </w:style>
  <w:style w:type="character" w:styleId="PageNumber">
    <w:name w:val="page number"/>
    <w:basedOn w:val="DefaultParagraphFont"/>
    <w:uiPriority w:val="99"/>
    <w:semiHidden/>
    <w:unhideWhenUsed/>
    <w:rsid w:val="00150EF6"/>
  </w:style>
  <w:style w:type="paragraph" w:styleId="BalloonText">
    <w:name w:val="Balloon Text"/>
    <w:basedOn w:val="Normal"/>
    <w:link w:val="BalloonTextChar"/>
    <w:uiPriority w:val="99"/>
    <w:semiHidden/>
    <w:unhideWhenUsed/>
    <w:rsid w:val="0015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2016-11-25T10:52:00Z</dcterms:created>
  <dcterms:modified xsi:type="dcterms:W3CDTF">2016-11-25T10:53:00Z</dcterms:modified>
</cp:coreProperties>
</file>