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CE" w:rsidRDefault="00D027CE" w:rsidP="00D027CE">
      <w:pPr>
        <w:tabs>
          <w:tab w:val="left" w:pos="360"/>
        </w:tabs>
        <w:spacing w:line="360" w:lineRule="auto"/>
        <w:jc w:val="left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t>Supplementary Table 1</w:t>
      </w:r>
    </w:p>
    <w:p w:rsidR="00D027CE" w:rsidRPr="002960ED" w:rsidRDefault="00D027CE" w:rsidP="00D027CE">
      <w:pPr>
        <w:tabs>
          <w:tab w:val="left" w:pos="360"/>
        </w:tabs>
        <w:spacing w:line="360" w:lineRule="auto"/>
        <w:jc w:val="left"/>
        <w:rPr>
          <w:rFonts w:ascii="Times New Roman" w:hAnsi="Times New Roman" w:cs="Times New Roman"/>
          <w:b/>
        </w:rPr>
      </w:pPr>
      <w:r w:rsidRPr="002960ED">
        <w:rPr>
          <w:rFonts w:ascii="Times New Roman" w:hAnsi="Times New Roman" w:cs="Times New Roman"/>
        </w:rPr>
        <w:t xml:space="preserve">HSS questionnaire </w:t>
      </w:r>
    </w:p>
    <w:p w:rsidR="00D027CE" w:rsidRPr="002960ED" w:rsidRDefault="00D027CE" w:rsidP="00D027CE">
      <w:pPr>
        <w:tabs>
          <w:tab w:val="left" w:pos="360"/>
        </w:tabs>
        <w:spacing w:line="360" w:lineRule="auto"/>
        <w:jc w:val="left"/>
        <w:rPr>
          <w:rFonts w:ascii="Times New Roman" w:hAnsi="Times New Roman" w:cs="Times New Roman"/>
          <w:b/>
        </w:rPr>
      </w:pPr>
      <w:r w:rsidRPr="002960ED">
        <w:rPr>
          <w:rFonts w:ascii="Times New Roman" w:hAnsi="Times New Roman" w:cs="Times New Roman"/>
          <w:b/>
          <w:noProof/>
          <w:lang w:val="en-IN" w:eastAsia="en-IN"/>
        </w:rPr>
        <w:lastRenderedPageBreak/>
        <w:drawing>
          <wp:inline distT="0" distB="0" distL="0" distR="0" wp14:anchorId="5E56A9E6" wp14:editId="3DC0B8F1">
            <wp:extent cx="5727700" cy="81051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ersensitive_questionnaire_2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7CE" w:rsidRPr="00AC5AAB" w:rsidRDefault="00D027CE" w:rsidP="00D027CE">
      <w:pPr>
        <w:tabs>
          <w:tab w:val="left" w:pos="360"/>
        </w:tabs>
        <w:spacing w:line="360" w:lineRule="auto"/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  <w:b/>
        </w:rPr>
        <w:br w:type="page"/>
      </w:r>
      <w:r w:rsidRPr="00AC5AAB">
        <w:rPr>
          <w:rFonts w:ascii="Times New Roman" w:hAnsi="Times New Roman" w:cs="Times New Roman"/>
        </w:rPr>
        <w:lastRenderedPageBreak/>
        <w:t>Supplementary Table 1. (continued)</w:t>
      </w:r>
    </w:p>
    <w:p w:rsidR="00D027CE" w:rsidRDefault="00D027CE" w:rsidP="00D027CE">
      <w:pPr>
        <w:tabs>
          <w:tab w:val="left" w:pos="360"/>
        </w:tabs>
        <w:spacing w:line="480" w:lineRule="auto"/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  <w:b/>
          <w:noProof/>
          <w:lang w:val="en-IN" w:eastAsia="en-IN"/>
        </w:rPr>
        <w:lastRenderedPageBreak/>
        <w:drawing>
          <wp:inline distT="0" distB="0" distL="0" distR="0" wp14:anchorId="2583CDF8" wp14:editId="4C816375">
            <wp:extent cx="5727700" cy="81051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ersensitive_questionnaire_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0ED">
        <w:rPr>
          <w:rFonts w:ascii="Times New Roman" w:hAnsi="Times New Roman" w:cs="Times New Roman"/>
          <w:b/>
        </w:rPr>
        <w:br w:type="page"/>
      </w:r>
      <w:r w:rsidRPr="00AC5AAB"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/>
        </w:rPr>
        <w:t>2</w:t>
      </w:r>
    </w:p>
    <w:p w:rsidR="00D027CE" w:rsidRPr="002960ED" w:rsidRDefault="00D027CE" w:rsidP="00D027CE">
      <w:pPr>
        <w:tabs>
          <w:tab w:val="left" w:pos="360"/>
        </w:tabs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</w:rPr>
        <w:t>Demographic and clinical characteristics of participants included in the factor analysis (</w:t>
      </w:r>
      <w:r w:rsidRPr="00AC5AAB">
        <w:rPr>
          <w:rFonts w:ascii="Times New Roman" w:hAnsi="Times New Roman" w:cs="Times New Roman"/>
        </w:rPr>
        <w:t>n</w:t>
      </w:r>
      <w:r w:rsidRPr="00C67D9A">
        <w:rPr>
          <w:rFonts w:ascii="Times New Roman" w:hAnsi="Times New Roman" w:cs="Times New Roman"/>
        </w:rPr>
        <w:t xml:space="preserve"> </w:t>
      </w:r>
      <w:r w:rsidRPr="002960ED">
        <w:rPr>
          <w:rFonts w:ascii="Times New Roman" w:hAnsi="Times New Roman" w:cs="Times New Roman"/>
        </w:rPr>
        <w:t>= 177)</w:t>
      </w:r>
      <w:r w:rsidRPr="002960ED">
        <w:rPr>
          <w:rFonts w:ascii="Times New Roman" w:hAnsi="Times New Roman" w:cs="Times New Roman"/>
          <w:vertAlign w:val="superscript"/>
        </w:rPr>
        <w:t>a</w:t>
      </w:r>
    </w:p>
    <w:tbl>
      <w:tblPr>
        <w:tblStyle w:val="TableGrid"/>
        <w:tblpPr w:leftFromText="142" w:rightFromText="142" w:vertAnchor="page" w:horzAnchor="page" w:tblpX="1522" w:tblpY="2334"/>
        <w:tblW w:w="10263" w:type="dxa"/>
        <w:tblLook w:val="04A0" w:firstRow="1" w:lastRow="0" w:firstColumn="1" w:lastColumn="0" w:noHBand="0" w:noVBand="1"/>
      </w:tblPr>
      <w:tblGrid>
        <w:gridCol w:w="1952"/>
        <w:gridCol w:w="1219"/>
        <w:gridCol w:w="1322"/>
        <w:gridCol w:w="1154"/>
        <w:gridCol w:w="1154"/>
        <w:gridCol w:w="1154"/>
        <w:gridCol w:w="1154"/>
        <w:gridCol w:w="1154"/>
      </w:tblGrid>
      <w:tr w:rsidR="00D027CE" w:rsidRPr="002960ED" w:rsidTr="00214CDF">
        <w:trPr>
          <w:trHeight w:val="413"/>
        </w:trPr>
        <w:tc>
          <w:tcPr>
            <w:tcW w:w="1951" w:type="dxa"/>
            <w:tcBorders>
              <w:top w:val="single" w:sz="8" w:space="0" w:color="auto"/>
              <w:left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5A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43)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bvFTD</w:t>
            </w:r>
          </w:p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5A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43)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PNFA</w:t>
            </w:r>
          </w:p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5A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20)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5A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29)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LPA</w:t>
            </w:r>
          </w:p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5A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21)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PCA</w:t>
            </w:r>
          </w:p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5A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CBD</w:t>
            </w:r>
          </w:p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5AA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</w:p>
        </w:tc>
      </w:tr>
      <w:tr w:rsidR="00D027CE" w:rsidRPr="002960ED" w:rsidTr="00214CDF">
        <w:trPr>
          <w:trHeight w:val="221"/>
        </w:trPr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keepNext/>
              <w:keepLines/>
              <w:tabs>
                <w:tab w:val="left" w:pos="360"/>
              </w:tabs>
              <w:jc w:val="lef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 xml:space="preserve">Age (y ± SD)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64.8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68.2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65.5±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D027CE" w:rsidRPr="002960ED" w:rsidTr="00214CDF">
        <w:trPr>
          <w:trHeight w:val="20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keepNext/>
              <w:keepLines/>
              <w:tabs>
                <w:tab w:val="left" w:pos="360"/>
              </w:tabs>
              <w:jc w:val="lef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Sex (Male/Female)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24/19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24/19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8/12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19/10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10/11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</w:tr>
      <w:tr w:rsidR="00D027CE" w:rsidRPr="002960ED" w:rsidTr="00214CDF">
        <w:trPr>
          <w:trHeight w:val="208"/>
        </w:trPr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7CE" w:rsidRPr="00602228" w:rsidRDefault="00D027CE" w:rsidP="00214CDF">
            <w:pPr>
              <w:keepNext/>
              <w:keepLines/>
              <w:tabs>
                <w:tab w:val="left" w:pos="360"/>
              </w:tabs>
              <w:jc w:val="lef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CDR (0-0.5-1-2-3)</w:t>
            </w:r>
            <w:r w:rsidRPr="0060222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0-8-17-7-7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1-7-17-7-11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4-7-2-3-4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2-7-9-6-3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0-6-3-5-6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0-0-2-2-3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27CE" w:rsidRPr="00602228" w:rsidRDefault="00D027CE" w:rsidP="00214C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228">
              <w:rPr>
                <w:rFonts w:ascii="Times New Roman" w:hAnsi="Times New Roman" w:cs="Times New Roman"/>
                <w:sz w:val="20"/>
                <w:szCs w:val="20"/>
              </w:rPr>
              <w:t>1-6-2-0-1</w:t>
            </w:r>
          </w:p>
        </w:tc>
      </w:tr>
    </w:tbl>
    <w:p w:rsidR="00D027CE" w:rsidRPr="002960ED" w:rsidRDefault="00D027CE" w:rsidP="00D027CE">
      <w:pPr>
        <w:tabs>
          <w:tab w:val="left" w:pos="360"/>
        </w:tabs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, </w:t>
      </w:r>
      <w:r w:rsidRPr="002960ED">
        <w:rPr>
          <w:rFonts w:ascii="Times New Roman" w:hAnsi="Times New Roman" w:cs="Times New Roman"/>
        </w:rPr>
        <w:t>Alzheimer’s disease; bvFTD</w:t>
      </w:r>
      <w:r>
        <w:rPr>
          <w:rFonts w:ascii="Times New Roman" w:hAnsi="Times New Roman" w:cs="Times New Roman"/>
        </w:rPr>
        <w:t xml:space="preserve">, </w:t>
      </w:r>
      <w:r w:rsidRPr="002960ED">
        <w:rPr>
          <w:rFonts w:ascii="Times New Roman" w:hAnsi="Times New Roman" w:cs="Times New Roman"/>
        </w:rPr>
        <w:t>behavioral-variant frontotemporal dementia; PNF</w:t>
      </w:r>
      <w:r>
        <w:rPr>
          <w:rFonts w:ascii="Times New Roman" w:hAnsi="Times New Roman" w:cs="Times New Roman"/>
        </w:rPr>
        <w:t xml:space="preserve">A, </w:t>
      </w:r>
      <w:r w:rsidRPr="002960ED">
        <w:rPr>
          <w:rFonts w:ascii="Times New Roman" w:hAnsi="Times New Roman" w:cs="Times New Roman"/>
        </w:rPr>
        <w:t>progressive non-fluent aphasia; SD</w:t>
      </w:r>
      <w:r>
        <w:rPr>
          <w:rFonts w:ascii="Times New Roman" w:hAnsi="Times New Roman" w:cs="Times New Roman"/>
        </w:rPr>
        <w:t xml:space="preserve">, </w:t>
      </w:r>
      <w:r w:rsidRPr="002960ED">
        <w:rPr>
          <w:rFonts w:ascii="Times New Roman" w:hAnsi="Times New Roman" w:cs="Times New Roman"/>
        </w:rPr>
        <w:t>sematic dementia; LPA</w:t>
      </w:r>
      <w:r>
        <w:rPr>
          <w:rFonts w:ascii="Times New Roman" w:hAnsi="Times New Roman" w:cs="Times New Roman"/>
        </w:rPr>
        <w:t xml:space="preserve">, </w:t>
      </w:r>
      <w:r w:rsidRPr="002960ED">
        <w:rPr>
          <w:rFonts w:ascii="Times New Roman" w:hAnsi="Times New Roman" w:cs="Times New Roman"/>
        </w:rPr>
        <w:t>logopenic progressive aphasia; PCA</w:t>
      </w:r>
      <w:r>
        <w:rPr>
          <w:rFonts w:ascii="Times New Roman" w:hAnsi="Times New Roman" w:cs="Times New Roman"/>
        </w:rPr>
        <w:t xml:space="preserve">, </w:t>
      </w:r>
      <w:r w:rsidRPr="002960ED">
        <w:rPr>
          <w:rFonts w:ascii="Times New Roman" w:hAnsi="Times New Roman" w:cs="Times New Roman"/>
        </w:rPr>
        <w:t>posterior cortical atrophy; CBD</w:t>
      </w:r>
      <w:r>
        <w:rPr>
          <w:rFonts w:ascii="Times New Roman" w:hAnsi="Times New Roman" w:cs="Times New Roman"/>
        </w:rPr>
        <w:t xml:space="preserve">, </w:t>
      </w:r>
      <w:r w:rsidRPr="002960ED">
        <w:rPr>
          <w:rFonts w:ascii="Times New Roman" w:hAnsi="Times New Roman" w:cs="Times New Roman"/>
        </w:rPr>
        <w:t>corticobasal degeneration; CDR</w:t>
      </w:r>
      <w:r>
        <w:rPr>
          <w:rFonts w:ascii="Times New Roman" w:hAnsi="Times New Roman" w:cs="Times New Roman"/>
        </w:rPr>
        <w:t xml:space="preserve">, </w:t>
      </w:r>
      <w:r w:rsidRPr="002960ED">
        <w:rPr>
          <w:rFonts w:ascii="Times New Roman" w:hAnsi="Times New Roman" w:cs="Times New Roman"/>
        </w:rPr>
        <w:t xml:space="preserve">clinical dementia rating. </w:t>
      </w:r>
    </w:p>
    <w:p w:rsidR="00D027CE" w:rsidRPr="002960ED" w:rsidRDefault="00D027CE" w:rsidP="00D027CE">
      <w:pPr>
        <w:tabs>
          <w:tab w:val="left" w:pos="360"/>
        </w:tabs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  <w:vertAlign w:val="superscript"/>
        </w:rPr>
        <w:t>a</w:t>
      </w:r>
      <w:r w:rsidRPr="002960ED">
        <w:rPr>
          <w:rFonts w:ascii="Times New Roman" w:hAnsi="Times New Roman" w:cs="Times New Roman"/>
        </w:rPr>
        <w:t>Includes data from 2 anonymous participants and 1 participant who had received several diagnoses.</w:t>
      </w:r>
    </w:p>
    <w:p w:rsidR="00D027CE" w:rsidRPr="002960ED" w:rsidRDefault="00D027CE" w:rsidP="00D027CE">
      <w:pPr>
        <w:tabs>
          <w:tab w:val="left" w:pos="360"/>
        </w:tabs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  <w:vertAlign w:val="superscript"/>
        </w:rPr>
        <w:t>b</w:t>
      </w:r>
      <w:r w:rsidRPr="002960ED">
        <w:rPr>
          <w:rFonts w:ascii="Times New Roman" w:hAnsi="Times New Roman" w:cs="Times New Roman"/>
        </w:rPr>
        <w:t>Missing data for 8 participants (4 AD, 2 SD, 1 LPA, 1 CBD).</w:t>
      </w:r>
    </w:p>
    <w:p w:rsidR="00D027CE" w:rsidRPr="002960ED" w:rsidRDefault="00D027CE" w:rsidP="00D027CE">
      <w:pPr>
        <w:tabs>
          <w:tab w:val="left" w:pos="360"/>
        </w:tabs>
        <w:jc w:val="left"/>
        <w:rPr>
          <w:rFonts w:ascii="Times New Roman" w:hAnsi="Times New Roman" w:cs="Times New Roman"/>
        </w:rPr>
      </w:pPr>
    </w:p>
    <w:p w:rsidR="00D027CE" w:rsidRDefault="00D027CE" w:rsidP="00D027CE">
      <w:pPr>
        <w:tabs>
          <w:tab w:val="left" w:pos="360"/>
        </w:tabs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</w:rPr>
        <w:br w:type="page"/>
      </w:r>
      <w:r w:rsidRPr="00AC5AAB">
        <w:rPr>
          <w:rFonts w:ascii="Times New Roman" w:hAnsi="Times New Roman" w:cs="Times New Roman"/>
        </w:rPr>
        <w:lastRenderedPageBreak/>
        <w:t xml:space="preserve">Supplementary Table </w:t>
      </w:r>
      <w:r>
        <w:rPr>
          <w:rFonts w:ascii="Times New Roman" w:hAnsi="Times New Roman" w:cs="Times New Roman"/>
        </w:rPr>
        <w:t>3</w:t>
      </w:r>
    </w:p>
    <w:p w:rsidR="00D027CE" w:rsidRPr="002960ED" w:rsidRDefault="00D027CE" w:rsidP="00D027CE">
      <w:pPr>
        <w:tabs>
          <w:tab w:val="left" w:pos="360"/>
        </w:tabs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</w:rPr>
        <w:t xml:space="preserve">Promax factor loadings </w:t>
      </w:r>
    </w:p>
    <w:tbl>
      <w:tblPr>
        <w:tblW w:w="995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5"/>
        <w:gridCol w:w="796"/>
        <w:gridCol w:w="702"/>
        <w:gridCol w:w="702"/>
        <w:gridCol w:w="988"/>
      </w:tblGrid>
      <w:tr w:rsidR="00D027CE" w:rsidRPr="002960ED" w:rsidTr="00214CDF">
        <w:trPr>
          <w:trHeight w:val="232"/>
        </w:trPr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left" w:pos="360"/>
              </w:tabs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　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F1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F2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F3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27CE" w:rsidRPr="002960ED" w:rsidRDefault="00D027CE" w:rsidP="00214CDF">
            <w:pPr>
              <w:tabs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Comm.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tcBorders>
              <w:top w:val="single" w:sz="4" w:space="0" w:color="auto"/>
            </w:tcBorders>
            <w:shd w:val="clear" w:color="auto" w:fill="auto"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i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i/>
                <w:kern w:val="0"/>
              </w:rPr>
              <w:t>Social Factor (F1)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</w:tcBorders>
          </w:tcPr>
          <w:p w:rsidR="00D027CE" w:rsidRPr="002960ED" w:rsidRDefault="00D027CE" w:rsidP="00214CDF">
            <w:pPr>
              <w:tabs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16. Shows affection towards family members or friends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0.86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-0.09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-0.17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0.57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4. Has a positive reaction to babies (smiles and talks to the baby)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0.58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0.09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-0.04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0.36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13. Tries to help out a person in need (for example, will comfort someone who is hurt or sad)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0.57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-0.02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0.17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0.46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14. Makes eye contact easily with other people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0.54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0.02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0.12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0.40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9. Listens to music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0.48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-0.03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0.09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0.27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15. Sings along to music on CDs, radio, or television</w:t>
            </w:r>
          </w:p>
        </w:tc>
        <w:tc>
          <w:tcPr>
            <w:tcW w:w="796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0.40</w:t>
            </w: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0.15</w:t>
            </w: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0.05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0.26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tcBorders>
              <w:top w:val="single" w:sz="4" w:space="0" w:color="auto"/>
            </w:tcBorders>
            <w:shd w:val="clear" w:color="auto" w:fill="auto"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i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i/>
                <w:kern w:val="0"/>
              </w:rPr>
              <w:t>Sensory Factor (F2)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12. Draws the curtains in late afternoon even when outside is still bright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-0.02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0.62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-0.20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0.30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1. Is sensitive to details (for example, tiny specks of dust on the table or rubbish on the road)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0.13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0.55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-0.03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0.35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7. Complains about bright lights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-0.12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0.54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-0.05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0.24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19. Is rigid and particular regarding the way items must be organized or ordered (for example documents on a desk)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-0.11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0.52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0.28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0.42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6. Dislikes loud noises (responds negatively to unexpected loud noises)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0.13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0.50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-0.24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0.22</w:t>
            </w:r>
          </w:p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D027CE" w:rsidRPr="002960ED" w:rsidTr="00214CDF">
        <w:trPr>
          <w:trHeight w:val="16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5. Hates the feel or texture of certain foods in the mouth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0.07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0.46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-0.20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0.18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8. Is sensitive to objects that are misaligned (for example a painting that is not straight on the wall)</w:t>
            </w:r>
          </w:p>
        </w:tc>
        <w:tc>
          <w:tcPr>
            <w:tcW w:w="796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-0.09</w:t>
            </w: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0.46</w:t>
            </w: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0.39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0.48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tcBorders>
              <w:top w:val="single" w:sz="4" w:space="0" w:color="auto"/>
            </w:tcBorders>
            <w:shd w:val="clear" w:color="auto" w:fill="auto"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i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i/>
                <w:kern w:val="0"/>
              </w:rPr>
              <w:t>Cognitive Factor (F3)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18. Likes doing puzzles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-0.13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-0.21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0.69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0.31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3. Reminisces mostly about recent events (recent weeks)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0.06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0.00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0.59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0.40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11. Likes taking photographs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0.15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-0.18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0.45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0.24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 xml:space="preserve"> 2. Likes to write everything down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0.24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0.07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0.45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0.42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10. Likes drawing pictures</w:t>
            </w:r>
          </w:p>
        </w:tc>
        <w:tc>
          <w:tcPr>
            <w:tcW w:w="796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0.15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-0.27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b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b/>
                <w:kern w:val="0"/>
              </w:rPr>
              <w:t>0.42</w:t>
            </w:r>
          </w:p>
        </w:tc>
        <w:tc>
          <w:tcPr>
            <w:tcW w:w="988" w:type="dxa"/>
            <w:tcBorders>
              <w:left w:val="nil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0.20</w:t>
            </w:r>
          </w:p>
        </w:tc>
      </w:tr>
      <w:tr w:rsidR="00D027CE" w:rsidRPr="002960ED" w:rsidTr="00214CDF">
        <w:trPr>
          <w:trHeight w:val="232"/>
        </w:trPr>
        <w:tc>
          <w:tcPr>
            <w:tcW w:w="676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D027CE">
            <w:pPr>
              <w:tabs>
                <w:tab w:val="left" w:pos="360"/>
              </w:tabs>
              <w:ind w:left="482" w:hangingChars="201" w:hanging="482"/>
              <w:jc w:val="left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17. Will try to clear the space around him/her by putting things away</w:t>
            </w:r>
          </w:p>
        </w:tc>
        <w:tc>
          <w:tcPr>
            <w:tcW w:w="796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0.22</w:t>
            </w: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0.27</w:t>
            </w: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0.33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</w:tcBorders>
          </w:tcPr>
          <w:p w:rsidR="00D027CE" w:rsidRPr="002960ED" w:rsidRDefault="00D027CE" w:rsidP="00214CDF">
            <w:pPr>
              <w:tabs>
                <w:tab w:val="decimal" w:pos="240"/>
                <w:tab w:val="left" w:pos="360"/>
              </w:tabs>
              <w:jc w:val="center"/>
              <w:rPr>
                <w:rFonts w:ascii="Times New Roman" w:eastAsia="ＭＳ Ｐゴシック" w:hAnsi="Times New Roman" w:cs="Times New Roman"/>
                <w:kern w:val="0"/>
              </w:rPr>
            </w:pPr>
            <w:r w:rsidRPr="002960ED">
              <w:rPr>
                <w:rFonts w:ascii="Times New Roman" w:eastAsia="ＭＳ Ｐゴシック" w:hAnsi="Times New Roman" w:cs="Times New Roman"/>
                <w:kern w:val="0"/>
              </w:rPr>
              <w:t>0.43</w:t>
            </w:r>
          </w:p>
        </w:tc>
      </w:tr>
    </w:tbl>
    <w:p w:rsidR="00D027CE" w:rsidRPr="002960ED" w:rsidRDefault="00D027CE" w:rsidP="00D027CE">
      <w:pPr>
        <w:tabs>
          <w:tab w:val="left" w:pos="360"/>
        </w:tabs>
        <w:jc w:val="left"/>
        <w:rPr>
          <w:rFonts w:ascii="Times New Roman" w:hAnsi="Times New Roman" w:cs="Times New Roman"/>
        </w:rPr>
        <w:sectPr w:rsidR="00D027CE" w:rsidRPr="002960ED" w:rsidSect="002960E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425"/>
          <w:docGrid w:type="lines" w:linePitch="400"/>
        </w:sectPr>
      </w:pPr>
      <w:r w:rsidRPr="002960ED">
        <w:rPr>
          <w:rFonts w:ascii="Times New Roman" w:hAnsi="Times New Roman" w:cs="Times New Roman"/>
        </w:rPr>
        <w:t>Comm.</w:t>
      </w:r>
      <w:r>
        <w:rPr>
          <w:rFonts w:ascii="Times New Roman" w:hAnsi="Times New Roman" w:cs="Times New Roman"/>
        </w:rPr>
        <w:t xml:space="preserve">, </w:t>
      </w:r>
      <w:r w:rsidRPr="002960ED">
        <w:rPr>
          <w:rFonts w:ascii="Times New Roman" w:hAnsi="Times New Roman" w:cs="Times New Roman"/>
        </w:rPr>
        <w:t>Communalities;</w:t>
      </w:r>
      <w:r w:rsidRPr="002960ED">
        <w:rPr>
          <w:rFonts w:ascii="Times New Roman" w:hAnsi="Times New Roman" w:cs="Times New Roman"/>
          <w:b/>
        </w:rPr>
        <w:t xml:space="preserve"> Bold font </w:t>
      </w:r>
      <w:r w:rsidRPr="002960ED">
        <w:rPr>
          <w:rFonts w:ascii="Times New Roman" w:hAnsi="Times New Roman" w:cs="Times New Roman"/>
        </w:rPr>
        <w:t>indicates a loading greater than 0.35</w:t>
      </w:r>
    </w:p>
    <w:p w:rsidR="00D027CE" w:rsidRPr="002960ED" w:rsidRDefault="00D027CE" w:rsidP="00D027CE">
      <w:pPr>
        <w:tabs>
          <w:tab w:val="left" w:pos="360"/>
        </w:tabs>
        <w:spacing w:line="360" w:lineRule="auto"/>
        <w:jc w:val="left"/>
        <w:rPr>
          <w:rFonts w:ascii="Times New Roman" w:hAnsi="Times New Roman" w:cs="Times New Roman"/>
        </w:rPr>
      </w:pPr>
      <w:r w:rsidRPr="00AC5AAB">
        <w:rPr>
          <w:rFonts w:ascii="Times New Roman" w:hAnsi="Times New Roman" w:cs="Times New Roman"/>
        </w:rPr>
        <w:lastRenderedPageBreak/>
        <w:t>Supplementary Fig</w:t>
      </w:r>
      <w:r>
        <w:rPr>
          <w:rFonts w:ascii="Times New Roman" w:hAnsi="Times New Roman" w:cs="Times New Roman"/>
        </w:rPr>
        <w:t>.</w:t>
      </w:r>
      <w:r w:rsidRPr="00AC5AAB">
        <w:rPr>
          <w:rFonts w:ascii="Times New Roman" w:hAnsi="Times New Roman" w:cs="Times New Roman"/>
        </w:rPr>
        <w:t xml:space="preserve"> 1.</w:t>
      </w:r>
      <w:r w:rsidRPr="002960ED">
        <w:rPr>
          <w:rFonts w:ascii="Times New Roman" w:hAnsi="Times New Roman" w:cs="Times New Roman"/>
          <w:b/>
        </w:rPr>
        <w:t xml:space="preserve"> </w:t>
      </w:r>
      <w:r w:rsidRPr="002960ED">
        <w:rPr>
          <w:rFonts w:ascii="Times New Roman" w:hAnsi="Times New Roman" w:cs="Times New Roman"/>
        </w:rPr>
        <w:t>Flow chart of</w:t>
      </w:r>
      <w:r w:rsidRPr="002960ED">
        <w:rPr>
          <w:rFonts w:ascii="Times New Roman" w:hAnsi="Times New Roman" w:cs="Times New Roman"/>
          <w:b/>
        </w:rPr>
        <w:t xml:space="preserve"> </w:t>
      </w:r>
      <w:r w:rsidRPr="002960ED">
        <w:rPr>
          <w:rFonts w:ascii="Times New Roman" w:hAnsi="Times New Roman" w:cs="Times New Roman"/>
        </w:rPr>
        <w:t>data collection</w:t>
      </w:r>
      <w:r>
        <w:rPr>
          <w:rFonts w:ascii="Times New Roman" w:hAnsi="Times New Roman" w:cs="Times New Roman"/>
        </w:rPr>
        <w:t>.</w:t>
      </w:r>
    </w:p>
    <w:p w:rsidR="00D027CE" w:rsidRPr="002960ED" w:rsidRDefault="00D027CE" w:rsidP="00D027CE">
      <w:pPr>
        <w:tabs>
          <w:tab w:val="left" w:pos="360"/>
        </w:tabs>
        <w:spacing w:line="360" w:lineRule="auto"/>
        <w:jc w:val="left"/>
        <w:rPr>
          <w:rFonts w:ascii="Times New Roman" w:hAnsi="Times New Roman" w:cs="Times New Roman"/>
        </w:rPr>
      </w:pPr>
      <w:r w:rsidRPr="002960ED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1AD15A78" wp14:editId="6C8874B3">
            <wp:extent cx="5080000" cy="3569928"/>
            <wp:effectExtent l="0" t="0" r="0" b="12065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86" cy="357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CE" w:rsidRPr="002960ED" w:rsidRDefault="00D027CE" w:rsidP="00D027CE">
      <w:pPr>
        <w:tabs>
          <w:tab w:val="left" w:pos="360"/>
        </w:tabs>
        <w:spacing w:line="360" w:lineRule="auto"/>
        <w:jc w:val="left"/>
        <w:rPr>
          <w:rFonts w:ascii="Times New Roman" w:hAnsi="Times New Roman" w:cs="Times New Roman"/>
        </w:rPr>
      </w:pPr>
    </w:p>
    <w:p w:rsidR="0051669A" w:rsidRDefault="0051669A">
      <w:bookmarkStart w:id="0" w:name="_GoBack"/>
      <w:bookmarkEnd w:id="0"/>
    </w:p>
    <w:sectPr w:rsidR="0051669A" w:rsidSect="002960ED">
      <w:pgSz w:w="12240" w:h="15840"/>
      <w:pgMar w:top="1440" w:right="1440" w:bottom="1440" w:left="1440" w:header="720" w:footer="720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30" w:rsidRPr="009A1850" w:rsidRDefault="00D027CE" w:rsidP="00203E4A">
    <w:pPr>
      <w:pStyle w:val="Footer"/>
      <w:jc w:val="center"/>
      <w:rPr>
        <w:rFonts w:ascii="Times New Roman" w:hAnsi="Times New Roman" w:cs="Times New Roman"/>
      </w:rPr>
    </w:pPr>
    <w:r w:rsidRPr="009A1850">
      <w:rPr>
        <w:rStyle w:val="PageNumber"/>
        <w:rFonts w:ascii="Times New Roman" w:hAnsi="Times New Roman" w:cs="Times New Roman"/>
      </w:rPr>
      <w:fldChar w:fldCharType="begin"/>
    </w:r>
    <w:r w:rsidRPr="009A1850">
      <w:rPr>
        <w:rStyle w:val="PageNumber"/>
        <w:rFonts w:ascii="Times New Roman" w:hAnsi="Times New Roman" w:cs="Times New Roman"/>
      </w:rPr>
      <w:instrText xml:space="preserve"> PAGE </w:instrText>
    </w:r>
    <w:r w:rsidRPr="009A1850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7</w:t>
    </w:r>
    <w:r w:rsidRPr="009A1850">
      <w:rPr>
        <w:rStyle w:val="PageNumber"/>
        <w:rFonts w:ascii="Times New Roman" w:hAnsi="Times New Roman" w:cs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30" w:rsidRPr="00884AC0" w:rsidRDefault="00D027CE" w:rsidP="00203E4A">
    <w:pPr>
      <w:spacing w:line="48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Supplementary 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CE"/>
    <w:rsid w:val="0051669A"/>
    <w:rsid w:val="00D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CE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27CE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27CE"/>
    <w:rPr>
      <w:rFonts w:eastAsiaTheme="minorEastAsia"/>
      <w:kern w:val="2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027CE"/>
  </w:style>
  <w:style w:type="table" w:styleId="TableGrid">
    <w:name w:val="Table Grid"/>
    <w:basedOn w:val="TableNormal"/>
    <w:uiPriority w:val="59"/>
    <w:rsid w:val="00D027C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CE"/>
    <w:rPr>
      <w:rFonts w:ascii="Tahoma" w:eastAsiaTheme="minorEastAsia" w:hAnsi="Tahoma" w:cs="Tahoma"/>
      <w:kern w:val="2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CE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27CE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27CE"/>
    <w:rPr>
      <w:rFonts w:eastAsiaTheme="minorEastAsia"/>
      <w:kern w:val="2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027CE"/>
  </w:style>
  <w:style w:type="table" w:styleId="TableGrid">
    <w:name w:val="Table Grid"/>
    <w:basedOn w:val="TableNormal"/>
    <w:uiPriority w:val="59"/>
    <w:rsid w:val="00D027CE"/>
    <w:pPr>
      <w:spacing w:after="0" w:line="240" w:lineRule="auto"/>
    </w:pPr>
    <w:rPr>
      <w:rFonts w:eastAsiaTheme="minorEastAsia"/>
      <w:kern w:val="2"/>
      <w:sz w:val="24"/>
      <w:szCs w:val="24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CE"/>
    <w:rPr>
      <w:rFonts w:ascii="Tahoma" w:eastAsiaTheme="minorEastAsi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2016-07-22T02:34:00Z</dcterms:created>
  <dcterms:modified xsi:type="dcterms:W3CDTF">2016-07-22T02:34:00Z</dcterms:modified>
</cp:coreProperties>
</file>