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6A" w:rsidRDefault="00EF186A">
      <w:pPr>
        <w:tabs>
          <w:tab w:val="left" w:pos="360"/>
        </w:tabs>
        <w:spacing w:line="480" w:lineRule="auto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Supplementary Material</w:t>
      </w:r>
    </w:p>
    <w:p w:rsidR="00EF186A" w:rsidRDefault="00EF186A">
      <w:pPr>
        <w:tabs>
          <w:tab w:val="left" w:pos="360"/>
        </w:tabs>
        <w:spacing w:line="480" w:lineRule="auto"/>
        <w:rPr>
          <w:b/>
          <w:bCs/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proofErr w:type="gramStart"/>
      <w:r>
        <w:rPr>
          <w:b/>
          <w:bCs/>
          <w:lang w:val="en-US"/>
        </w:rPr>
        <w:t>Supplementary Figure 1.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lang w:val="en-US"/>
        </w:rPr>
        <w:t xml:space="preserve">Overview of factors that can affect the clinical accuracy of CSF biomarker </w:t>
      </w:r>
      <w:proofErr w:type="spellStart"/>
      <w:r>
        <w:rPr>
          <w:lang w:val="en-US"/>
        </w:rPr>
        <w:t>analysis.ApoE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Apolipoprotein</w:t>
      </w:r>
      <w:proofErr w:type="spellEnd"/>
      <w:r>
        <w:rPr>
          <w:lang w:val="en-US"/>
        </w:rPr>
        <w:t xml:space="preserve"> E; QC, quality control.</w:t>
      </w:r>
      <w:proofErr w:type="gramEnd"/>
    </w:p>
    <w:p w:rsidR="00EF186A" w:rsidRDefault="00076F27">
      <w:pPr>
        <w:tabs>
          <w:tab w:val="left" w:pos="360"/>
        </w:tabs>
        <w:spacing w:line="480" w:lineRule="auto"/>
        <w:rPr>
          <w:lang w:val="en-US"/>
        </w:rPr>
      </w:pPr>
      <w:r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451.35pt;height:253.6pt;visibility:visible">
            <v:imagedata r:id="rId5" o:title=""/>
          </v:shape>
        </w:pic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</w:p>
    <w:p w:rsidR="00EF186A" w:rsidRDefault="00EF186A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proofErr w:type="gramStart"/>
      <w:r>
        <w:rPr>
          <w:b/>
          <w:bCs/>
          <w:lang w:val="en-US"/>
        </w:rPr>
        <w:t>Supplementary Figure 2.</w:t>
      </w:r>
      <w:r>
        <w:rPr>
          <w:lang w:val="en-US"/>
        </w:rPr>
        <w:t>Inclusion of a ‘pre-wash’ step of recipients in the test procedure.</w:t>
      </w:r>
      <w:proofErr w:type="gramEnd"/>
    </w:p>
    <w:p w:rsidR="00EF186A" w:rsidRDefault="00EF186A">
      <w:pPr>
        <w:tabs>
          <w:tab w:val="left" w:pos="360"/>
        </w:tabs>
        <w:spacing w:line="480" w:lineRule="auto"/>
        <w:rPr>
          <w:b/>
          <w:bCs/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MATERIALS AND METHODS</w: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r>
        <w:rPr>
          <w:rFonts w:cs="Times New Roman"/>
          <w:lang w:val="en-US"/>
        </w:rPr>
        <w:tab/>
        <w:t>Since measurement of CSF Aβ</w:t>
      </w:r>
      <w:r>
        <w:rPr>
          <w:vertAlign w:val="subscript"/>
          <w:lang w:val="en-US"/>
        </w:rPr>
        <w:t>1-42</w:t>
      </w:r>
      <w:r>
        <w:rPr>
          <w:lang w:val="en-US"/>
        </w:rPr>
        <w:t xml:space="preserve"> is affected by the selected recipients for sample handling, we performed an initial experiment in which three different types of recipient (PP-1: Greiner Code 650201; PP-2: Greiner Code 655185; </w:t>
      </w:r>
      <w:proofErr w:type="spellStart"/>
      <w:r>
        <w:rPr>
          <w:lang w:val="en-US"/>
        </w:rPr>
        <w:t>Qiagen</w:t>
      </w:r>
      <w:proofErr w:type="spellEnd"/>
      <w:r>
        <w:rPr>
          <w:lang w:val="en-US"/>
        </w:rPr>
        <w:t xml:space="preserve"> tubes: Code 19560) for pre-handling of CSF or run-validation control samples (= calibrator in phosphate-buffered solutions) were compared, either with or without a pre-wash step of the recipients with sample diluent from the commercial kit before addition of samples to antibody-coated plates. </w: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RESULTS</w: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r>
        <w:rPr>
          <w:lang w:val="en-US"/>
        </w:rPr>
        <w:tab/>
        <w:t xml:space="preserve">For CSF samples (n=5), pre-treatment of recipients with sample diluent (pre-wash step) reduced adsorption to PP-1, PP-2, or </w:t>
      </w:r>
      <w:proofErr w:type="spellStart"/>
      <w:r>
        <w:rPr>
          <w:lang w:val="en-US"/>
        </w:rPr>
        <w:t>Qiagen</w:t>
      </w:r>
      <w:proofErr w:type="spellEnd"/>
      <w:r>
        <w:rPr>
          <w:lang w:val="en-US"/>
        </w:rPr>
        <w:t xml:space="preserve"> recipients significantly (Mean % (95%CI; p value)) by 32.1 (17.5-48.5; p=0.0006), 23.3 (10.3-37.7; p=0.0024), or 26.1 (15.1-38.1; p=0.0004), respectively. When CSF is added to the </w:t>
      </w:r>
      <w:proofErr w:type="spellStart"/>
      <w:r>
        <w:rPr>
          <w:lang w:val="en-US"/>
        </w:rPr>
        <w:t>Qiagen</w:t>
      </w:r>
      <w:proofErr w:type="spellEnd"/>
      <w:r>
        <w:rPr>
          <w:lang w:val="en-US"/>
        </w:rPr>
        <w:t xml:space="preserve"> tubes before analysis, levels were reduced compared to PP1 tubes by -19.5 (-31.7 - -5.1; p=0.0159) or -23.2 (-30 - -15.7; p=0.0002) for the no-wash or wash procedure, respectively. </w: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r>
        <w:rPr>
          <w:lang w:val="en-US"/>
        </w:rPr>
        <w:tab/>
        <w:t>For run-</w:t>
      </w:r>
      <w:proofErr w:type="spellStart"/>
      <w:r>
        <w:rPr>
          <w:lang w:val="en-US"/>
        </w:rPr>
        <w:t>validationcontrol</w:t>
      </w:r>
      <w:proofErr w:type="spellEnd"/>
      <w:r>
        <w:rPr>
          <w:lang w:val="en-US"/>
        </w:rPr>
        <w:t xml:space="preserve"> samples (n=5), slightly lower values were obtained with inclusion of the wash procedure of the recipients, amounting to -5.0 (-9.2 - -0.5; p=0.0325), -6.0 (-11.0 - -0.8; p=0.0294), and -5.1 (-10.2-0.4; p=0.0635) for PP-1, PP-2, and </w:t>
      </w:r>
      <w:proofErr w:type="spellStart"/>
      <w:r>
        <w:rPr>
          <w:lang w:val="en-US"/>
        </w:rPr>
        <w:t>Qiagen</w:t>
      </w:r>
      <w:proofErr w:type="spellEnd"/>
      <w:r>
        <w:rPr>
          <w:lang w:val="en-US"/>
        </w:rPr>
        <w:t>, r</w:t>
      </w:r>
      <w:r>
        <w:rPr>
          <w:rFonts w:cs="Times New Roman"/>
          <w:lang w:val="en-US"/>
        </w:rPr>
        <w:t xml:space="preserve">espectively. The use of </w:t>
      </w:r>
      <w:proofErr w:type="spellStart"/>
      <w:r>
        <w:rPr>
          <w:rFonts w:cs="Times New Roman"/>
          <w:lang w:val="en-US"/>
        </w:rPr>
        <w:t>Qiagen</w:t>
      </w:r>
      <w:proofErr w:type="spellEnd"/>
      <w:r>
        <w:rPr>
          <w:rFonts w:cs="Times New Roman"/>
          <w:lang w:val="en-US"/>
        </w:rPr>
        <w:t xml:space="preserve"> tubes reduced Aβ</w:t>
      </w:r>
      <w:r>
        <w:rPr>
          <w:vertAlign w:val="subscript"/>
          <w:lang w:val="en-US"/>
        </w:rPr>
        <w:t>1-42</w:t>
      </w:r>
      <w:r>
        <w:rPr>
          <w:lang w:val="en-US"/>
        </w:rPr>
        <w:t xml:space="preserve"> levels compared to PP-1 by -12.1 (-16.4 - -7.7; p=0.0003) and -12.2 (-16.2 - -8.1; p=0.0002) for the no-wash and wash procedure, respectively. These observations were confirmed several times during the validation phase of the assay. As a result, all CSF biomarker studies were done according to the flow chart as presented in Supplementary Figure 3, including pre-wash steps whenever applicable. </w:t>
      </w:r>
    </w:p>
    <w:p w:rsidR="00EF186A" w:rsidRDefault="00076F27">
      <w:pPr>
        <w:tabs>
          <w:tab w:val="left" w:pos="360"/>
        </w:tabs>
        <w:spacing w:line="480" w:lineRule="auto"/>
        <w:rPr>
          <w:lang w:val="en-US"/>
        </w:rPr>
      </w:pPr>
      <w:r>
        <w:rPr>
          <w:noProof/>
          <w:lang w:val="en-IN" w:eastAsia="en-IN"/>
        </w:rPr>
        <w:lastRenderedPageBreak/>
        <w:pict>
          <v:shape id="Picture 10" o:spid="_x0000_i1026" type="#_x0000_t75" style="width:451.35pt;height:253.05pt;visibility:visible">
            <v:imagedata r:id="rId6" o:title=""/>
          </v:shape>
        </w:pic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proofErr w:type="gramStart"/>
      <w:r>
        <w:rPr>
          <w:lang w:val="en-US"/>
        </w:rPr>
        <w:t>CSF, cerebrospinal fluid; PP, polypropylene.</w:t>
      </w:r>
      <w:proofErr w:type="gramEnd"/>
    </w:p>
    <w:p w:rsidR="00EF186A" w:rsidRDefault="00EF186A">
      <w:pPr>
        <w:tabs>
          <w:tab w:val="left" w:pos="360"/>
        </w:tabs>
        <w:spacing w:line="480" w:lineRule="auto"/>
        <w:rPr>
          <w:i/>
          <w:iCs/>
          <w:lang w:val="en-US"/>
        </w:rPr>
      </w:pPr>
      <w:r>
        <w:rPr>
          <w:i/>
          <w:iCs/>
          <w:lang w:val="en-US"/>
        </w:rPr>
        <w:t>Statistics</w: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proofErr w:type="gramStart"/>
      <w:r>
        <w:rPr>
          <w:lang w:val="en-US"/>
        </w:rPr>
        <w:t>Effect sizes and p-values.</w:t>
      </w:r>
      <w:proofErr w:type="gramEnd"/>
    </w:p>
    <w:tbl>
      <w:tblPr>
        <w:tblW w:w="973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15"/>
        <w:gridCol w:w="720"/>
        <w:gridCol w:w="1115"/>
        <w:gridCol w:w="685"/>
        <w:gridCol w:w="735"/>
        <w:gridCol w:w="705"/>
        <w:gridCol w:w="281"/>
        <w:gridCol w:w="979"/>
        <w:gridCol w:w="630"/>
        <w:gridCol w:w="810"/>
        <w:gridCol w:w="630"/>
        <w:gridCol w:w="720"/>
        <w:gridCol w:w="810"/>
      </w:tblGrid>
      <w:tr w:rsidR="00EF186A">
        <w:trPr>
          <w:trHeight w:val="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Sample Type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Tube type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Estimate</w:t>
            </w:r>
            <w:r>
              <w:rPr>
                <w:color w:val="000000"/>
                <w:sz w:val="16"/>
                <w:szCs w:val="16"/>
                <w:lang w:val="en-US"/>
              </w:rPr>
              <w:br/>
              <w:t>Wash - No Wash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95%CI LL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95%CI UL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Sample Type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Wash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Estimate</w:t>
            </w:r>
            <w:r>
              <w:rPr>
                <w:color w:val="000000"/>
                <w:sz w:val="16"/>
                <w:szCs w:val="16"/>
                <w:lang w:val="en-US"/>
              </w:rPr>
              <w:br/>
              <w:t xml:space="preserve">PP-1 -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Qiagen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95%CI LL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95%CI UL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p-value</w:t>
            </w:r>
          </w:p>
        </w:tc>
      </w:tr>
      <w:tr w:rsidR="00EF186A">
        <w:trPr>
          <w:cantSplit/>
          <w:trHeight w:val="2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Run-validation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Qiagen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-5.1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-10.2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0.0635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Run-Validation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-12.2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-8.1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0.00020</w:t>
            </w:r>
          </w:p>
        </w:tc>
      </w:tr>
      <w:tr w:rsidR="00EF186A">
        <w:trPr>
          <w:cantSplit/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PP-2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-6.0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-11.0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-0.8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0.0294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-12.1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-7.7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0.00030</w:t>
            </w:r>
          </w:p>
        </w:tc>
      </w:tr>
      <w:tr w:rsidR="00EF186A">
        <w:trPr>
          <w:cantSplit/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PP-1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-5.0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-9.2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-0.5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0.0325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CSF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-23.2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-30.0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-15.7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0.00020</w:t>
            </w:r>
          </w:p>
        </w:tc>
      </w:tr>
      <w:tr w:rsidR="00EF186A">
        <w:trPr>
          <w:cantSplit/>
          <w:trHeight w:val="28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CSF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Qiagen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15.1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38.1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0.0004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-19.5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-31.7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-5.1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0.01590</w:t>
            </w:r>
          </w:p>
        </w:tc>
      </w:tr>
      <w:tr w:rsidR="00EF186A">
        <w:trPr>
          <w:cantSplit/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PP-2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23.3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37.7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0.0024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186A">
        <w:trPr>
          <w:cantSplit/>
          <w:trHeight w:val="28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PP-1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32.1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186A" w:rsidRDefault="00EF186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0.0006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86A" w:rsidRDefault="00EF186A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r>
        <w:rPr>
          <w:lang w:val="en-US"/>
        </w:rPr>
        <w:t>Paper: 2016-Vanderstichele et al.</w: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u w:val="single"/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u w:val="single"/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u w:val="single"/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u w:val="single"/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u w:val="single"/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proofErr w:type="gramStart"/>
      <w:r>
        <w:rPr>
          <w:b/>
          <w:bCs/>
          <w:lang w:val="en-US"/>
        </w:rPr>
        <w:lastRenderedPageBreak/>
        <w:t>Supplementary Figure 3.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lang w:val="en-US"/>
        </w:rPr>
        <w:t>Flow chart for sample handling.</w:t>
      </w:r>
      <w:proofErr w:type="gramEnd"/>
      <w:r>
        <w:rPr>
          <w:lang w:val="en-US"/>
        </w:rPr>
        <w:t xml:space="preserve"> SD, sample diluent</w:t>
      </w:r>
    </w:p>
    <w:p w:rsidR="00EF186A" w:rsidRDefault="00076F27">
      <w:pPr>
        <w:tabs>
          <w:tab w:val="left" w:pos="360"/>
        </w:tabs>
        <w:spacing w:line="480" w:lineRule="auto"/>
        <w:rPr>
          <w:lang w:val="en-US"/>
        </w:rPr>
      </w:pPr>
      <w:r>
        <w:rPr>
          <w:noProof/>
          <w:lang w:val="en-IN" w:eastAsia="en-IN"/>
        </w:rPr>
        <w:pict>
          <v:shape id="Picture 12" o:spid="_x0000_i1027" type="#_x0000_t75" style="width:446.5pt;height:334.2pt;visibility:visible">
            <v:imagedata r:id="rId7" o:title=""/>
          </v:shape>
        </w:pict>
      </w:r>
      <w:r w:rsidR="00EF186A">
        <w:rPr>
          <w:lang w:val="en-US"/>
        </w:rPr>
        <w:br w:type="page"/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proofErr w:type="gramStart"/>
      <w:r>
        <w:rPr>
          <w:b/>
          <w:bCs/>
          <w:lang w:val="en-US"/>
        </w:rPr>
        <w:t>Supplementary Figure 4.</w:t>
      </w:r>
      <w:proofErr w:type="gramEnd"/>
      <w:r>
        <w:rPr>
          <w:b/>
          <w:bCs/>
          <w:lang w:val="en-US"/>
        </w:rPr>
        <w:t xml:space="preserve"> </w:t>
      </w:r>
      <w:proofErr w:type="gramStart"/>
      <w:r>
        <w:rPr>
          <w:lang w:val="en-US"/>
        </w:rPr>
        <w:t>Recove</w:t>
      </w:r>
      <w:r>
        <w:rPr>
          <w:rFonts w:cs="Times New Roman"/>
          <w:lang w:val="en-US"/>
        </w:rPr>
        <w:t>ry of Aβ</w:t>
      </w:r>
      <w:r>
        <w:rPr>
          <w:vertAlign w:val="subscript"/>
          <w:lang w:val="en-US"/>
        </w:rPr>
        <w:t>1-42</w:t>
      </w:r>
      <w:r>
        <w:rPr>
          <w:rFonts w:cs="Times New Roman"/>
          <w:lang w:val="en-US"/>
        </w:rPr>
        <w:t xml:space="preserve"> by treatment of the stored CSF tubes with Tween-20.Extraction studies were</w:t>
      </w:r>
      <w:proofErr w:type="gramEnd"/>
      <w:r>
        <w:rPr>
          <w:rFonts w:cs="Times New Roman"/>
          <w:lang w:val="en-US"/>
        </w:rPr>
        <w:t xml:space="preserve"> done with the aim to recover Aβ</w:t>
      </w:r>
      <w:r>
        <w:rPr>
          <w:vertAlign w:val="subscript"/>
          <w:lang w:val="en-US"/>
        </w:rPr>
        <w:t>1-42</w:t>
      </w:r>
      <w:r>
        <w:rPr>
          <w:rFonts w:cs="Times New Roman"/>
          <w:lang w:val="en-US"/>
        </w:rPr>
        <w:t xml:space="preserve"> from recipients. Tubes with CSF, collected in the absence of detergent, were treated with different concentrations (0.002 - 0.05%) of Tw20. Aβ</w:t>
      </w:r>
      <w:r>
        <w:rPr>
          <w:vertAlign w:val="subscript"/>
          <w:lang w:val="en-US"/>
        </w:rPr>
        <w:t>1-42</w:t>
      </w:r>
      <w:r>
        <w:rPr>
          <w:lang w:val="en-US"/>
        </w:rPr>
        <w:t xml:space="preserve"> recoveries were compared with CSF without the extraction procedure. Details of the test procedure are described in Materials and Methods.</w:t>
      </w:r>
    </w:p>
    <w:p w:rsidR="00EF186A" w:rsidRDefault="00076F27">
      <w:pPr>
        <w:tabs>
          <w:tab w:val="left" w:pos="360"/>
        </w:tabs>
        <w:spacing w:line="480" w:lineRule="auto"/>
        <w:rPr>
          <w:lang w:val="en-US"/>
        </w:rPr>
      </w:pPr>
      <w:r>
        <w:rPr>
          <w:noProof/>
          <w:lang w:val="en-IN" w:eastAsia="en-IN"/>
        </w:rPr>
        <w:pict>
          <v:shape id="Picture 16" o:spid="_x0000_i1028" type="#_x0000_t75" style="width:451.35pt;height:253.05pt;visibility:visible">
            <v:imagedata r:id="rId8" o:title=""/>
          </v:shape>
        </w:pict>
      </w: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</w:p>
    <w:p w:rsidR="00EF186A" w:rsidRDefault="00EF186A">
      <w:pPr>
        <w:tabs>
          <w:tab w:val="left" w:pos="360"/>
        </w:tabs>
        <w:spacing w:line="480" w:lineRule="auto"/>
        <w:rPr>
          <w:lang w:val="en-US"/>
        </w:rPr>
      </w:pPr>
      <w:bookmarkStart w:id="0" w:name="_GoBack"/>
      <w:bookmarkEnd w:id="0"/>
    </w:p>
    <w:sectPr w:rsidR="00EF186A" w:rsidSect="00EF1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86A"/>
    <w:rsid w:val="00076F27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Administrator</dc:creator>
  <cp:keywords/>
  <dc:description/>
  <cp:lastModifiedBy>SGML</cp:lastModifiedBy>
  <cp:revision>2</cp:revision>
  <dcterms:created xsi:type="dcterms:W3CDTF">2016-05-30T06:14:00Z</dcterms:created>
  <dcterms:modified xsi:type="dcterms:W3CDTF">2016-05-30T07:02:00Z</dcterms:modified>
</cp:coreProperties>
</file>