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08" w:rsidRPr="00FA1182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182">
        <w:rPr>
          <w:rFonts w:ascii="Times New Roman" w:hAnsi="Times New Roman" w:cs="Times New Roman"/>
          <w:sz w:val="24"/>
          <w:szCs w:val="24"/>
          <w:lang w:val="en-US"/>
        </w:rPr>
        <w:t>Supplementary Table 1</w:t>
      </w:r>
    </w:p>
    <w:p w:rsidR="00E75908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Baseline demographic, neuropsychological, </w:t>
      </w:r>
      <w:proofErr w:type="gram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biomarker,</w:t>
      </w:r>
      <w:proofErr w:type="gram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and genetic characteristics </w:t>
      </w:r>
      <w:r>
        <w:rPr>
          <w:rFonts w:ascii="Times New Roman" w:hAnsi="Times New Roman" w:cs="Times New Roman"/>
          <w:sz w:val="24"/>
          <w:szCs w:val="24"/>
          <w:lang w:val="en-US"/>
        </w:rPr>
        <w:t>of the MCI due to AD population</w:t>
      </w:r>
    </w:p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126"/>
      </w:tblGrid>
      <w:tr w:rsidR="00E75908" w:rsidRPr="00DA7619" w:rsidTr="009E1DD0">
        <w:tc>
          <w:tcPr>
            <w:tcW w:w="8755" w:type="dxa"/>
            <w:gridSpan w:val="2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619">
              <w:rPr>
                <w:rFonts w:ascii="Times New Roman" w:hAnsi="Times New Roman"/>
                <w:b/>
                <w:sz w:val="24"/>
                <w:szCs w:val="24"/>
              </w:rPr>
              <w:t>Demographic characteristics at time of LP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F/M,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23 / 15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(y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72.3 ± 8.5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at disease onset (y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69.6 ± 8.9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Disease duration (y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2.7 ± 2.5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Amnestic/non-amnestic subtype,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35 / 3</w:t>
            </w:r>
          </w:p>
        </w:tc>
      </w:tr>
      <w:tr w:rsidR="00E75908" w:rsidRPr="00DA7619" w:rsidTr="009E1DD0">
        <w:tc>
          <w:tcPr>
            <w:tcW w:w="8755" w:type="dxa"/>
            <w:gridSpan w:val="2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619">
              <w:rPr>
                <w:rFonts w:ascii="Times New Roman" w:hAnsi="Times New Roman"/>
                <w:b/>
                <w:sz w:val="24"/>
                <w:szCs w:val="24"/>
              </w:rPr>
              <w:t>Neuropsychological characteristics at time of LP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MMSE (/30),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25.0 ± 2.6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Executive disorder,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14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28)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Immediate memory disorder,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24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33)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Delayed memory disorder,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28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Language disorder,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11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34)</w:t>
            </w:r>
          </w:p>
        </w:tc>
      </w:tr>
      <w:tr w:rsidR="00E75908" w:rsidRPr="00DA7619" w:rsidTr="009E1DD0">
        <w:tc>
          <w:tcPr>
            <w:tcW w:w="8755" w:type="dxa"/>
            <w:gridSpan w:val="2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619">
              <w:rPr>
                <w:rFonts w:ascii="Times New Roman" w:hAnsi="Times New Roman"/>
                <w:b/>
                <w:sz w:val="24"/>
                <w:szCs w:val="24"/>
              </w:rPr>
              <w:t>Biomarker and genetic characteristics at time of LP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Aβ</w:t>
            </w:r>
            <w:r w:rsidRPr="00DA7619">
              <w:rPr>
                <w:rFonts w:ascii="Times New Roman" w:hAnsi="Times New Roman"/>
                <w:sz w:val="24"/>
                <w:szCs w:val="24"/>
                <w:vertAlign w:val="subscript"/>
              </w:rPr>
              <w:t>1-42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 xml:space="preserve"> (pg/ml),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473 ± 112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T-tau (pg/ml),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639 ± 292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P-tau</w:t>
            </w:r>
            <w:r w:rsidRPr="00DA7619">
              <w:rPr>
                <w:rFonts w:ascii="Times New Roman" w:hAnsi="Times New Roman"/>
                <w:sz w:val="24"/>
                <w:szCs w:val="24"/>
                <w:vertAlign w:val="subscript"/>
              </w:rPr>
              <w:t>181P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 xml:space="preserve"> (pg/ml), mean ± SD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90.3 ± 29.0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/>
                <w:sz w:val="24"/>
                <w:szCs w:val="24"/>
              </w:rPr>
              <w:t>APOE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 xml:space="preserve"> ε4 double carriers,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7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/>
                <w:sz w:val="24"/>
                <w:szCs w:val="24"/>
              </w:rPr>
              <w:t>APOE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 xml:space="preserve"> ε4 single carriers,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13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</w:tr>
      <w:tr w:rsidR="00E75908" w:rsidRPr="00DA7619" w:rsidTr="009E1DD0">
        <w:tc>
          <w:tcPr>
            <w:tcW w:w="6629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/>
                <w:sz w:val="24"/>
                <w:szCs w:val="24"/>
              </w:rPr>
              <w:t>APOE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 xml:space="preserve"> ε4 non carriers, n</w:t>
            </w:r>
          </w:p>
        </w:tc>
        <w:tc>
          <w:tcPr>
            <w:tcW w:w="212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15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</w:tr>
      <w:tr w:rsidR="00E75908" w:rsidRPr="00DA7619" w:rsidTr="009E1DD0">
        <w:tc>
          <w:tcPr>
            <w:tcW w:w="8755" w:type="dxa"/>
            <w:gridSpan w:val="2"/>
          </w:tcPr>
          <w:p w:rsidR="00E75908" w:rsidRPr="00DA7619" w:rsidRDefault="00E75908" w:rsidP="009E1DD0">
            <w:pPr>
              <w:pStyle w:val="Caption"/>
              <w:tabs>
                <w:tab w:val="left" w:pos="360"/>
              </w:tabs>
              <w:spacing w:after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Executive functioning was measured with the FAB or TMT-B test, where a score ≤14 on the FAB and/or a z-score ≤-1.5 on the TMT-B indicated an executive disorder. Immediate memory was assessed with the HDS – item 8 (registration) (≤7), RBANS or WMS-III or IV immediate memory index scores (z-score ≤1.5). Delayed memory was based on the HDS – item 20 (delayed recall) (≤7), RBANS or WMS-III or IV delayed memory index scores (z-score ≤1.5). Language functioning was measured with the RBANS language index score (z-score ≤1.5), and/or the BNT (≤45).</w:t>
            </w:r>
          </w:p>
          <w:p w:rsidR="00E75908" w:rsidRPr="00DA7619" w:rsidRDefault="00E75908" w:rsidP="009E1DD0">
            <w:pPr>
              <w:pStyle w:val="Caption"/>
              <w:tabs>
                <w:tab w:val="left" w:pos="360"/>
              </w:tabs>
              <w:spacing w:after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Aβ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  <w:vertAlign w:val="subscript"/>
              </w:rPr>
              <w:t>1-42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amyloid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-beta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protein of 42 amino acids; APOE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, a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polipoprotein E; BNT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Boston Naming Test; FAB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Frontal Assessment Battery; HDS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Hierarchic Dementia Scale; MMSE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Mini-Mental State Examination; P-tau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  <w:vertAlign w:val="subscript"/>
              </w:rPr>
              <w:t>181P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tau protein phosphorylated at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threonin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e 181; RBANS,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Repeatable Battery for the Assessment of Neuropsychological Status; TMT-B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Trail Making Test Part B; T-tau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total tau protein; WMS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DA761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Wechsler Memory Scale.</w:t>
            </w:r>
          </w:p>
        </w:tc>
      </w:tr>
    </w:tbl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br w:type="page"/>
      </w:r>
    </w:p>
    <w:p w:rsidR="00E75908" w:rsidRPr="004B3347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3347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2</w:t>
      </w:r>
    </w:p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>Follow-up demographic and clinical characteristics of the MCI due to AD population (‘MCI’)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6245"/>
        <w:gridCol w:w="1376"/>
        <w:gridCol w:w="1661"/>
      </w:tblGrid>
      <w:tr w:rsidR="00E75908" w:rsidRPr="00DA7619" w:rsidTr="009E1DD0">
        <w:tc>
          <w:tcPr>
            <w:tcW w:w="6245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Diagnosis at follow-up</w:t>
            </w:r>
          </w:p>
        </w:tc>
        <w:tc>
          <w:tcPr>
            <w:tcW w:w="1376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MCI</w:t>
            </w:r>
          </w:p>
        </w:tc>
        <w:tc>
          <w:tcPr>
            <w:tcW w:w="1661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Probable AD</w:t>
            </w:r>
          </w:p>
        </w:tc>
      </w:tr>
      <w:tr w:rsidR="00E75908" w:rsidRPr="00DA7619" w:rsidTr="009E1DD0">
        <w:tc>
          <w:tcPr>
            <w:tcW w:w="6245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F/M, n (*)</w:t>
            </w:r>
          </w:p>
        </w:tc>
        <w:tc>
          <w:tcPr>
            <w:tcW w:w="1376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9 / 6</w:t>
            </w:r>
          </w:p>
        </w:tc>
        <w:tc>
          <w:tcPr>
            <w:tcW w:w="1661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13 / 9</w:t>
            </w:r>
          </w:p>
        </w:tc>
      </w:tr>
      <w:tr w:rsidR="00E75908" w:rsidRPr="00DA7619" w:rsidTr="009E1DD0">
        <w:tc>
          <w:tcPr>
            <w:tcW w:w="6245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Follow-up time to latest conversion o</w:t>
            </w:r>
            <w:r>
              <w:rPr>
                <w:rFonts w:ascii="Times New Roman" w:hAnsi="Times New Roman"/>
                <w:sz w:val="24"/>
                <w:szCs w:val="24"/>
              </w:rPr>
              <w:t>r last consultation (y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), mean ± SD</w:t>
            </w:r>
          </w:p>
        </w:tc>
        <w:tc>
          <w:tcPr>
            <w:tcW w:w="1376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2.4 ± 1.1</w:t>
            </w:r>
          </w:p>
        </w:tc>
        <w:tc>
          <w:tcPr>
            <w:tcW w:w="1661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2.3 ± 1.5</w:t>
            </w:r>
          </w:p>
        </w:tc>
      </w:tr>
      <w:tr w:rsidR="00E75908" w:rsidRPr="00DA7619" w:rsidTr="009E1DD0">
        <w:tc>
          <w:tcPr>
            <w:tcW w:w="6245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Amnestic/non-amnestic MCI subtype at follow-up, n</w:t>
            </w:r>
          </w:p>
        </w:tc>
        <w:tc>
          <w:tcPr>
            <w:tcW w:w="1376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13 / 2</w:t>
            </w:r>
          </w:p>
        </w:tc>
        <w:tc>
          <w:tcPr>
            <w:tcW w:w="1661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7619">
              <w:rPr>
                <w:rFonts w:ascii="Times New Roman" w:hAnsi="Times New Roman"/>
                <w:i/>
                <w:sz w:val="24"/>
                <w:szCs w:val="24"/>
              </w:rPr>
              <w:t>NA</w:t>
            </w:r>
          </w:p>
        </w:tc>
      </w:tr>
      <w:tr w:rsidR="00E75908" w:rsidRPr="00DA7619" w:rsidTr="009E1DD0">
        <w:tc>
          <w:tcPr>
            <w:tcW w:w="6245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MMSE at last consultation, mean ± SD (**)</w:t>
            </w:r>
          </w:p>
        </w:tc>
        <w:tc>
          <w:tcPr>
            <w:tcW w:w="1376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25.2 ± 3.7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1661" w:type="dxa"/>
          </w:tcPr>
          <w:p w:rsidR="00E75908" w:rsidRPr="00DA7619" w:rsidRDefault="00E75908" w:rsidP="009E1D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19">
              <w:rPr>
                <w:rFonts w:ascii="Times New Roman" w:hAnsi="Times New Roman"/>
                <w:sz w:val="24"/>
                <w:szCs w:val="24"/>
              </w:rPr>
              <w:t>16.4 ± 6.6 (n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19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</w:tr>
    </w:tbl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>(*) Out of thirty-eight MCI patients, the total follow-up time of on</w:t>
      </w:r>
      <w:r>
        <w:rPr>
          <w:rFonts w:ascii="Times New Roman" w:hAnsi="Times New Roman" w:cs="Times New Roman"/>
          <w:sz w:val="24"/>
          <w:szCs w:val="24"/>
          <w:lang w:val="en-US"/>
        </w:rPr>
        <w:t>e patient was less than one y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, while the other patients (in total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37) were followed-up clinically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more than one y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, before and/or after LP. Thirty-two of these 37 persons wer</w:t>
      </w:r>
      <w:r>
        <w:rPr>
          <w:rFonts w:ascii="Times New Roman" w:hAnsi="Times New Roman" w:cs="Times New Roman"/>
          <w:sz w:val="24"/>
          <w:szCs w:val="24"/>
          <w:lang w:val="en-US"/>
        </w:rPr>
        <w:t>e followed-up for more than one y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post-LP (**). However, only 31 patients of these 32 are represented in Fig.5 as thin lines since for one patient, none of the MMSE could be time-linked to the LP (+/- 3 months). Therefore, the linear mixed model analysis also included 36 MCI patients in total.</w:t>
      </w:r>
    </w:p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>Follow-up demographic characteristics of the dementia due to AD population (‘AD’) post-LP</w:t>
      </w:r>
    </w:p>
    <w:tbl>
      <w:tblPr>
        <w:tblStyle w:val="TableGrid3"/>
        <w:tblW w:w="7913" w:type="dxa"/>
        <w:tblLook w:val="04A0" w:firstRow="1" w:lastRow="0" w:firstColumn="1" w:lastColumn="0" w:noHBand="0" w:noVBand="1"/>
      </w:tblPr>
      <w:tblGrid>
        <w:gridCol w:w="5796"/>
        <w:gridCol w:w="2117"/>
      </w:tblGrid>
      <w:tr w:rsidR="00E75908" w:rsidRPr="00DA7619" w:rsidTr="009E1DD0">
        <w:tc>
          <w:tcPr>
            <w:tcW w:w="579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F/M, n (*)</w:t>
            </w:r>
          </w:p>
        </w:tc>
        <w:tc>
          <w:tcPr>
            <w:tcW w:w="2117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19 / 13</w:t>
            </w:r>
          </w:p>
        </w:tc>
      </w:tr>
      <w:tr w:rsidR="00E75908" w:rsidRPr="00DA7619" w:rsidTr="009E1DD0">
        <w:tc>
          <w:tcPr>
            <w:tcW w:w="579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Follow-up</w:t>
            </w:r>
            <w:r>
              <w:rPr>
                <w:rFonts w:ascii="Times New Roman" w:hAnsi="Times New Roman" w:cs="Times New Roman"/>
                <w:lang w:val="en-US"/>
              </w:rPr>
              <w:t xml:space="preserve"> time to last consultation (y</w:t>
            </w:r>
            <w:r w:rsidRPr="00DA7619">
              <w:rPr>
                <w:rFonts w:ascii="Times New Roman" w:hAnsi="Times New Roman" w:cs="Times New Roman"/>
                <w:lang w:val="en-US"/>
              </w:rPr>
              <w:t>), mean ± SD</w:t>
            </w:r>
          </w:p>
        </w:tc>
        <w:tc>
          <w:tcPr>
            <w:tcW w:w="2117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2.3 ± 1.6</w:t>
            </w:r>
          </w:p>
        </w:tc>
      </w:tr>
      <w:tr w:rsidR="00E75908" w:rsidRPr="00DA7619" w:rsidTr="009E1DD0">
        <w:tc>
          <w:tcPr>
            <w:tcW w:w="5796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MMSE at last consultation, mean ± SD</w:t>
            </w:r>
          </w:p>
        </w:tc>
        <w:tc>
          <w:tcPr>
            <w:tcW w:w="2117" w:type="dxa"/>
          </w:tcPr>
          <w:p w:rsidR="00E75908" w:rsidRPr="00DA7619" w:rsidRDefault="00E75908" w:rsidP="009E1DD0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DA7619">
              <w:rPr>
                <w:rFonts w:ascii="Times New Roman" w:hAnsi="Times New Roman" w:cs="Times New Roman"/>
                <w:lang w:val="en-US"/>
              </w:rPr>
              <w:t>14.4 ± 8.8</w:t>
            </w:r>
          </w:p>
        </w:tc>
      </w:tr>
    </w:tbl>
    <w:p w:rsidR="00E75908" w:rsidRPr="00DA7619" w:rsidRDefault="00E75908" w:rsidP="00E759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(*) The total subset of AD patients with MMSE data, included in the linear mixed model analysis, involved 45 persons. Thirty-four of them had more than one MMSE, starting from three months before LP. Three of these 34 had their first MMSE less than three months prior to LP and a second MMSE at LP. These 3 patients are not included in this Supplementary table 2 since there was no follow-up after LP. Of the remaining 11 patients with only one recording, 10 had only an MMSE at LP while one subject had no MMSE at LP but one follow-up MMSE. This latter subject is included in Supplementary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able 2, resulting in 32 AD patients that were followed-up after LP.</w:t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75908" w:rsidRPr="004B3347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Fig.</w:t>
      </w:r>
      <w:r w:rsidRPr="004B334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>To determine the affinity constant (K</w:t>
      </w:r>
      <w:r w:rsidRPr="00DA7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) of the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mAbs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ADxNGCI2 and Ng7,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biolayer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interferometry was performed using the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BLItz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-system by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fortéBIO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biotinylated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peptide containing the epitope of ADxNGCI2 and Ng7 was therefore loaded onto a sensor pre-coated with streptavidin and following a baseline in Phosphate-buffered Saline (PBS) containing 0.05% Tween-20 and 0.05% ProClin300 (PBST), the sensor was exposed to a range of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mAb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concentrations: 0.333 – 1.667 – 41.67 or 208.3nM (in PBST). After recording association and dissociation (in PBST), and following subtraction of the background, the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BLItz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data analysis software performed a global fit on the resulting association (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A7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>) and dissociation (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A7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) rates of the series of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mAb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concentrations. The plots shown are the interaction of ADxNGCI2 (upper panel) or Ng7 (lower panel) with the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biotinylated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peptide. The resulting association and dissociation (depicted in the graphs) of the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mAbs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are visualized in color. The local fitting for each run is depicted in black and summarized in the tables below the graphs. When performing a global fitting on the multiple datasets, the K</w:t>
      </w:r>
      <w:r w:rsidRPr="00DA7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(M) corresponding to Ng7 was 6.168e-10, while the K</w:t>
      </w:r>
      <w:r w:rsidRPr="00DA7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(M) of ADxNGCI2 was out of range, i.e.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&lt;1e-12.</w:t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331C4BCB" wp14:editId="5F948C3A">
            <wp:extent cx="5760720" cy="2270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a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61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0D472F9" wp14:editId="514B957F">
            <wp:extent cx="576072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1b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75908" w:rsidRPr="00595F6C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Fig.</w:t>
      </w:r>
      <w:r w:rsidRPr="00595F6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sz w:val="24"/>
          <w:szCs w:val="24"/>
          <w:lang w:val="en-US"/>
        </w:rPr>
        <w:t>CSF samples (n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3) were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aliquoted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at day 0 and stored immediately at -80°C or kept at 21°C (closed circles), 4°C (open squares) as well as -20°C (open triangles) during 1, 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or 15 day(s) before storage at -80°C pending analysis. Levels of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neurogranin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trunc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P75 in all samples were normalized against the concentration in the aliquot stored at -80°</w:t>
      </w:r>
      <w:proofErr w:type="spellStart"/>
      <w:r w:rsidRPr="00DA7619">
        <w:rPr>
          <w:rFonts w:ascii="Times New Roman" w:hAnsi="Times New Roman" w:cs="Times New Roman"/>
          <w:sz w:val="24"/>
          <w:szCs w:val="24"/>
          <w:lang w:val="en-US"/>
        </w:rPr>
        <w:t>C at</w:t>
      </w:r>
      <w:proofErr w:type="spellEnd"/>
      <w:r w:rsidRPr="00DA7619">
        <w:rPr>
          <w:rFonts w:ascii="Times New Roman" w:hAnsi="Times New Roman" w:cs="Times New Roman"/>
          <w:sz w:val="24"/>
          <w:szCs w:val="24"/>
          <w:lang w:val="en-US"/>
        </w:rPr>
        <w:t xml:space="preserve"> day 0.</w:t>
      </w:r>
    </w:p>
    <w:p w:rsidR="00E75908" w:rsidRPr="00DA7619" w:rsidRDefault="00E75908" w:rsidP="00E75908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61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5BB2F736" wp14:editId="7BC2B6CB">
            <wp:extent cx="3639600" cy="2401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pplementary Figure 2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0D" w:rsidRDefault="0030770D">
      <w:bookmarkStart w:id="0" w:name="_GoBack"/>
      <w:bookmarkEnd w:id="0"/>
    </w:p>
    <w:sectPr w:rsidR="0030770D" w:rsidSect="00DA7619">
      <w:foot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13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70C" w:rsidRDefault="00E75908" w:rsidP="00DA76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8"/>
    <w:rsid w:val="0030770D"/>
    <w:rsid w:val="00E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08"/>
    <w:pPr>
      <w:spacing w:after="160" w:line="259" w:lineRule="auto"/>
    </w:pPr>
    <w:rPr>
      <w:rFonts w:eastAsiaTheme="minorEastAsia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7590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75908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08"/>
    <w:rPr>
      <w:rFonts w:eastAsiaTheme="minorEastAsia"/>
      <w:lang w:val="nl-BE"/>
    </w:rPr>
  </w:style>
  <w:style w:type="table" w:customStyle="1" w:styleId="TableGrid3">
    <w:name w:val="Table Grid3"/>
    <w:basedOn w:val="TableNormal"/>
    <w:next w:val="TableGrid"/>
    <w:uiPriority w:val="59"/>
    <w:rsid w:val="00E75908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08"/>
    <w:rPr>
      <w:rFonts w:ascii="Tahoma" w:eastAsiaTheme="minorEastAsi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08"/>
    <w:pPr>
      <w:spacing w:after="160" w:line="259" w:lineRule="auto"/>
    </w:pPr>
    <w:rPr>
      <w:rFonts w:eastAsiaTheme="minorEastAsia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7590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75908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08"/>
    <w:rPr>
      <w:rFonts w:eastAsiaTheme="minorEastAsia"/>
      <w:lang w:val="nl-BE"/>
    </w:rPr>
  </w:style>
  <w:style w:type="table" w:customStyle="1" w:styleId="TableGrid3">
    <w:name w:val="Table Grid3"/>
    <w:basedOn w:val="TableNormal"/>
    <w:next w:val="TableGrid"/>
    <w:uiPriority w:val="59"/>
    <w:rsid w:val="00E75908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08"/>
    <w:rPr>
      <w:rFonts w:ascii="Tahoma" w:eastAsiaTheme="minorEastAsi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Data Conversion</dc:creator>
  <cp:lastModifiedBy>Elsevier Data Conversion</cp:lastModifiedBy>
  <cp:revision>1</cp:revision>
  <dcterms:created xsi:type="dcterms:W3CDTF">2016-07-05T05:16:00Z</dcterms:created>
  <dcterms:modified xsi:type="dcterms:W3CDTF">2016-07-05T05:16:00Z</dcterms:modified>
</cp:coreProperties>
</file>