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82" w:rsidRDefault="008E3982" w:rsidP="008E3982">
      <w:pPr>
        <w:pStyle w:val="Standard1"/>
        <w:tabs>
          <w:tab w:val="left" w:pos="3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537">
        <w:rPr>
          <w:rFonts w:ascii="Times New Roman" w:hAnsi="Times New Roman" w:cs="Times New Roman"/>
          <w:b/>
          <w:iCs/>
          <w:sz w:val="24"/>
          <w:szCs w:val="24"/>
        </w:rPr>
        <w:t>Supplementary Table 1:</w:t>
      </w:r>
      <w:r w:rsidRPr="00066537">
        <w:rPr>
          <w:rFonts w:ascii="Times New Roman" w:hAnsi="Times New Roman" w:cs="Times New Roman"/>
          <w:iCs/>
          <w:sz w:val="24"/>
          <w:szCs w:val="24"/>
        </w:rPr>
        <w:t xml:space="preserve"> Clinical trial lists for the top hits from drug target similarity approach.</w:t>
      </w:r>
    </w:p>
    <w:p w:rsidR="008E3982" w:rsidRPr="00066537" w:rsidRDefault="008E3982" w:rsidP="008E3982">
      <w:pPr>
        <w:pStyle w:val="Standard1"/>
        <w:tabs>
          <w:tab w:val="left" w:pos="3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70"/>
        <w:gridCol w:w="7758"/>
      </w:tblGrid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6537">
              <w:rPr>
                <w:rFonts w:ascii="Times New Roman" w:hAnsi="Times New Roman"/>
                <w:b/>
                <w:sz w:val="24"/>
                <w:szCs w:val="24"/>
              </w:rPr>
              <w:t>Drug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6537">
              <w:rPr>
                <w:rFonts w:ascii="Times New Roman" w:hAnsi="Times New Roman"/>
                <w:b/>
                <w:sz w:val="24"/>
                <w:szCs w:val="24"/>
              </w:rPr>
              <w:t>Trial ID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Resveratrol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NCT01504854 - phase </w:t>
            </w:r>
            <w:r>
              <w:rPr>
                <w:rFonts w:ascii="Times New Roman" w:hAnsi="Times New Roman"/>
                <w:sz w:val="24"/>
                <w:szCs w:val="24"/>
              </w:rPr>
              <w:t>II,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 xml:space="preserve"> NCT00678431 phase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Copper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NCT00608946 - phase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537">
              <w:rPr>
                <w:rFonts w:ascii="Times New Roman" w:hAnsi="Times New Roman"/>
                <w:sz w:val="24"/>
                <w:szCs w:val="24"/>
              </w:rPr>
              <w:t>Acetylcysteine</w:t>
            </w:r>
            <w:proofErr w:type="spellEnd"/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NCT01370954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537">
              <w:rPr>
                <w:rFonts w:ascii="Times New Roman" w:hAnsi="Times New Roman"/>
                <w:sz w:val="24"/>
                <w:szCs w:val="24"/>
              </w:rPr>
              <w:t>Curcumin</w:t>
            </w:r>
            <w:proofErr w:type="spellEnd"/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NCT01001637 - phase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NCT00099710 - phase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 xml:space="preserve">, NCT01811381 - phase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Simvastatin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NCT00486044 - phase II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 xml:space="preserve">, NCT00053599 - phase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537">
              <w:rPr>
                <w:rFonts w:ascii="Times New Roman" w:hAnsi="Times New Roman"/>
                <w:sz w:val="24"/>
                <w:szCs w:val="24"/>
              </w:rPr>
              <w:t>Celecoxib</w:t>
            </w:r>
            <w:proofErr w:type="spellEnd"/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NCT00007189 - phase III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>NCT01417130, NCT00065169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Estradiol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NCT00066157 - phase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Testosterone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NCT00392912, NCT00539305 - phase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Rosiglitazone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NCT00381238 - phase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 xml:space="preserve">, NCT00265148 - phase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NCT00348140 - phase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Cyclophosphamide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NCT00013650 - phase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537">
              <w:rPr>
                <w:rFonts w:ascii="Times New Roman" w:hAnsi="Times New Roman"/>
                <w:sz w:val="24"/>
                <w:szCs w:val="24"/>
              </w:rPr>
              <w:t>Genistein</w:t>
            </w:r>
            <w:proofErr w:type="spellEnd"/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NCT01982578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Selenium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NCT00040378 - phase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Indomethacin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 xml:space="preserve">NCT00432081 - phase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Melatonin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NCT00544791 - phase II</w:t>
            </w:r>
            <w:r w:rsidRPr="00066537">
              <w:rPr>
                <w:rFonts w:ascii="Times New Roman" w:hAnsi="Times New Roman"/>
                <w:sz w:val="24"/>
                <w:szCs w:val="24"/>
              </w:rPr>
              <w:t xml:space="preserve">, NCT00940589 - phase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8E3982" w:rsidRPr="00066537" w:rsidTr="005D31FB">
        <w:trPr>
          <w:trHeight w:val="300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Rifampin</w:t>
            </w:r>
          </w:p>
        </w:tc>
        <w:tc>
          <w:tcPr>
            <w:tcW w:w="7758" w:type="dxa"/>
            <w:shd w:val="clear" w:color="auto" w:fill="auto"/>
            <w:tcMar>
              <w:left w:w="108" w:type="dxa"/>
            </w:tcMar>
          </w:tcPr>
          <w:p w:rsidR="008E3982" w:rsidRPr="00066537" w:rsidRDefault="008E3982" w:rsidP="005D31FB">
            <w:pPr>
              <w:pStyle w:val="NormalWeb"/>
              <w:tabs>
                <w:tab w:val="left" w:pos="360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6537">
              <w:rPr>
                <w:rFonts w:ascii="Times New Roman" w:hAnsi="Times New Roman"/>
                <w:sz w:val="24"/>
                <w:szCs w:val="24"/>
              </w:rPr>
              <w:t>NCT00692588</w:t>
            </w:r>
          </w:p>
        </w:tc>
      </w:tr>
    </w:tbl>
    <w:p w:rsidR="008E3982" w:rsidRPr="00066537" w:rsidRDefault="008E3982" w:rsidP="008E3982">
      <w:pPr>
        <w:pStyle w:val="NormalWeb"/>
        <w:tabs>
          <w:tab w:val="left" w:pos="360"/>
        </w:tabs>
        <w:spacing w:beforeAutospacing="0" w:after="0" w:afterAutospacing="0"/>
        <w:rPr>
          <w:rFonts w:ascii="Times New Roman" w:hAnsi="Times New Roman"/>
          <w:sz w:val="24"/>
          <w:szCs w:val="24"/>
        </w:rPr>
      </w:pPr>
    </w:p>
    <w:p w:rsidR="00851421" w:rsidRDefault="00851421">
      <w:bookmarkStart w:id="0" w:name="_GoBack"/>
      <w:bookmarkEnd w:id="0"/>
    </w:p>
    <w:sectPr w:rsidR="00851421" w:rsidSect="00066537">
      <w:pgSz w:w="12240" w:h="15840"/>
      <w:pgMar w:top="1440" w:right="1440" w:bottom="1440" w:left="1440" w:header="0" w:footer="0" w:gutter="0"/>
      <w:cols w:space="720"/>
      <w:formProt w:val="0"/>
      <w:docGrid w:linePitch="3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L UMing HK;Times New 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82"/>
    <w:rsid w:val="00851421"/>
    <w:rsid w:val="008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qFormat/>
    <w:rsid w:val="008E3982"/>
    <w:pPr>
      <w:suppressAutoHyphens/>
      <w:textAlignment w:val="baseline"/>
    </w:pPr>
    <w:rPr>
      <w:rFonts w:ascii="Calibri" w:eastAsia="AR PL UMing HK;Times New Roman" w:hAnsi="Calibri" w:cs="Calibri"/>
      <w:color w:val="00000A"/>
      <w:lang w:eastAsia="zh-CN"/>
    </w:rPr>
  </w:style>
  <w:style w:type="paragraph" w:styleId="NormalWeb">
    <w:name w:val="Normal (Web)"/>
    <w:basedOn w:val="Normal"/>
    <w:uiPriority w:val="99"/>
    <w:unhideWhenUsed/>
    <w:qFormat/>
    <w:rsid w:val="008E3982"/>
    <w:pPr>
      <w:spacing w:beforeAutospacing="1" w:afterAutospacing="1" w:line="240" w:lineRule="auto"/>
    </w:pPr>
    <w:rPr>
      <w:rFonts w:ascii="Times" w:eastAsiaTheme="minorEastAsia" w:hAnsi="Times" w:cs="Times New Roman"/>
      <w:color w:val="00000A"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8E3982"/>
    <w:pPr>
      <w:spacing w:after="0" w:line="240" w:lineRule="auto"/>
    </w:pPr>
    <w:rPr>
      <w:rFonts w:ascii="Liberation Serif" w:eastAsia="AR PL UMing HK" w:hAnsi="Liberation Serif" w:cs="Lohit Devanagari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qFormat/>
    <w:rsid w:val="008E3982"/>
    <w:pPr>
      <w:suppressAutoHyphens/>
      <w:textAlignment w:val="baseline"/>
    </w:pPr>
    <w:rPr>
      <w:rFonts w:ascii="Calibri" w:eastAsia="AR PL UMing HK;Times New Roman" w:hAnsi="Calibri" w:cs="Calibri"/>
      <w:color w:val="00000A"/>
      <w:lang w:eastAsia="zh-CN"/>
    </w:rPr>
  </w:style>
  <w:style w:type="paragraph" w:styleId="NormalWeb">
    <w:name w:val="Normal (Web)"/>
    <w:basedOn w:val="Normal"/>
    <w:uiPriority w:val="99"/>
    <w:unhideWhenUsed/>
    <w:qFormat/>
    <w:rsid w:val="008E3982"/>
    <w:pPr>
      <w:spacing w:beforeAutospacing="1" w:afterAutospacing="1" w:line="240" w:lineRule="auto"/>
    </w:pPr>
    <w:rPr>
      <w:rFonts w:ascii="Times" w:eastAsiaTheme="minorEastAsia" w:hAnsi="Times" w:cs="Times New Roman"/>
      <w:color w:val="00000A"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8E3982"/>
    <w:pPr>
      <w:spacing w:after="0" w:line="240" w:lineRule="auto"/>
    </w:pPr>
    <w:rPr>
      <w:rFonts w:ascii="Liberation Serif" w:eastAsia="AR PL UMing HK" w:hAnsi="Liberation Serif" w:cs="Lohit Devanagari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2016-12-27T11:30:00Z</dcterms:created>
  <dcterms:modified xsi:type="dcterms:W3CDTF">2016-12-27T11:31:00Z</dcterms:modified>
</cp:coreProperties>
</file>