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Supplementary Figure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Recruited animals by age and breed.</w:t>
      </w: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590" w:dyaOrig="3052">
          <v:rect xmlns:o="urn:schemas-microsoft-com:office:office" xmlns:v="urn:schemas-microsoft-com:vml" id="rectole0000000000" style="width:479.500000pt;height:152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Supplementary Figure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Western blot analysis of GFAP levels in homogenates of cortex pools of cattle brains and (B) densitometric analysis. Each column represents the levels of GFAP expressed in cattle with a large amount of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β deposits in the brain (34593), with a small amount of Aβ deposits (16602), and GFAP levels in mouse brain used as control (Mouse). GAPDH runs in the same gel as loading control. MW, molecular weight. </w:t>
      </w: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object w:dxaOrig="4492" w:dyaOrig="3067">
          <v:rect xmlns:o="urn:schemas-microsoft-com:office:office" xmlns:v="urn:schemas-microsoft-com:vml" id="rectole0000000001" style="width:224.600000pt;height:153.3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 </w:t>
      </w:r>
      <w:r>
        <w:object w:dxaOrig="5432" w:dyaOrig="2860">
          <v:rect xmlns:o="urn:schemas-microsoft-com:office:office" xmlns:v="urn:schemas-microsoft-com:vml" id="rectole0000000002" style="width:271.600000pt;height:143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Supplemetary Figure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Western blot analysis of IBA-1 levels in the frontal cortex of cattle brains and (B) densitometric analysis. Each column represents the levels of IBA-1 expressed in cattle with a large amount of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β deposits in the brain (13145), and with a small amount of Aβ deposits (16602), and the levels of IBA-1 in mouse brain used as control (Mouse). GAPDH runs in the same gel as loading control. MW, molecular weight.</w:t>
      </w: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object w:dxaOrig="3729" w:dyaOrig="2520">
          <v:rect xmlns:o="urn:schemas-microsoft-com:office:office" xmlns:v="urn:schemas-microsoft-com:vml" id="rectole0000000003" style="width:186.450000pt;height:126.0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tabs>
          <w:tab w:val="left" w:pos="360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 </w:t>
      </w:r>
      <w:r>
        <w:object w:dxaOrig="5432" w:dyaOrig="2885">
          <v:rect xmlns:o="urn:schemas-microsoft-com:office:office" xmlns:v="urn:schemas-microsoft-com:vml" id="rectole0000000004" style="width:271.600000pt;height:144.2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embeddings/oleObject4.bin" Id="docRId8" Type="http://schemas.openxmlformats.org/officeDocument/2006/relationships/oleObject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/Relationships>
</file>