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Supplementary Figure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Recruited animals by age and breed.</w:t>
      </w: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9590" w:dyaOrig="3052">
          <v:rect xmlns:o="urn:schemas-microsoft-com:office:office" xmlns:v="urn:schemas-microsoft-com:vml" id="rectole0000000000" style="width:479.500000pt;height:152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Supplementary Figure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Western blot analysis of GFAP levels in homogenates of cortex pools of cattle brains and (B) densitometric analysis. Each column represents the levels of GFAP expressed in cattle with a large amount of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β deposits in the brain (34593), with a small amount of Aβ deposits (16602), and GFAP levels in mouse brain used as control (Mouse). GAPDH runs in the same gel as loading control. MW, molecular weight. </w:t>
      </w: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object w:dxaOrig="4492" w:dyaOrig="3067">
          <v:rect xmlns:o="urn:schemas-microsoft-com:office:office" xmlns:v="urn:schemas-microsoft-com:vml" id="rectole0000000001" style="width:224.600000pt;height:153.3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 </w:t>
      </w:r>
      <w:r>
        <w:object w:dxaOrig="5432" w:dyaOrig="2860">
          <v:rect xmlns:o="urn:schemas-microsoft-com:office:office" xmlns:v="urn:schemas-microsoft-com:vml" id="rectole0000000002" style="width:271.600000pt;height:143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Supplemetary Figure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Western blot analysis of IBA-1 levels in the frontal cortex of cattle brains and (B) densitometric analysis. Each column represents the levels of IBA-1 expressed in cattle with a large amount of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β deposits in the brain (13145), and with a small amount of Aβ deposits (16602), and the levels of IBA-1 in mouse brain used as control (Mouse). GAPDH runs in the same gel as loading control. MW, molecular weight.</w:t>
      </w: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object w:dxaOrig="3729" w:dyaOrig="2520">
          <v:rect xmlns:o="urn:schemas-microsoft-com:office:office" xmlns:v="urn:schemas-microsoft-com:vml" id="rectole0000000003" style="width:186.450000pt;height:126.0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tabs>
          <w:tab w:val="left" w:pos="360" w:leader="none"/>
        </w:tabs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 </w:t>
      </w:r>
      <w:r>
        <w:object w:dxaOrig="5432" w:dyaOrig="2885">
          <v:rect xmlns:o="urn:schemas-microsoft-com:office:office" xmlns:v="urn:schemas-microsoft-com:vml" id="rectole0000000004" style="width:271.600000pt;height:144.2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0" Type="http://schemas.openxmlformats.org/officeDocument/2006/relationships/numbering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embeddings/oleObject4.bin" Id="docRId8" Type="http://schemas.openxmlformats.org/officeDocument/2006/relationships/oleObject"/><Relationship Target="media/image0.wmf" Id="docRId1" Type="http://schemas.openxmlformats.org/officeDocument/2006/relationships/image"/><Relationship Target="styles.xml" Id="docRId11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/Relationships>
</file>