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84" w:rsidRDefault="00BC1C84" w:rsidP="00BC1C84">
      <w:pPr>
        <w:pStyle w:val="2"/>
      </w:pPr>
      <w:r>
        <w:t>Supplemental Information</w:t>
      </w:r>
    </w:p>
    <w:p w:rsidR="00BC1C84" w:rsidRPr="00110CE0" w:rsidRDefault="00BC1C84" w:rsidP="00BC1C84">
      <w:pPr>
        <w:pStyle w:val="3"/>
      </w:pPr>
      <w:bookmarkStart w:id="0" w:name="_Toc492882973"/>
      <w:r w:rsidRPr="00110CE0">
        <w:t>Supplement 1</w:t>
      </w:r>
      <w:bookmarkEnd w:id="0"/>
    </w:p>
    <w:p w:rsidR="00BC1C84" w:rsidRPr="00110CE0" w:rsidRDefault="00BC1C84" w:rsidP="00BC1C84">
      <w:pPr>
        <w:spacing w:line="480" w:lineRule="auto"/>
        <w:jc w:val="left"/>
        <w:rPr>
          <w:rFonts w:cs="Times New Roman"/>
        </w:rPr>
      </w:pPr>
      <w:proofErr w:type="gramStart"/>
      <w:r w:rsidRPr="00110CE0">
        <w:rPr>
          <w:rFonts w:cs="Times New Roman"/>
        </w:rPr>
        <w:t xml:space="preserve">Heavy chain sequence alignment of mouse anti-TAC with the human </w:t>
      </w:r>
      <w:proofErr w:type="spellStart"/>
      <w:r w:rsidRPr="00110CE0">
        <w:rPr>
          <w:rFonts w:cs="Times New Roman"/>
        </w:rPr>
        <w:t>mAb</w:t>
      </w:r>
      <w:proofErr w:type="spellEnd"/>
      <w:r w:rsidRPr="00110CE0">
        <w:rPr>
          <w:rFonts w:cs="Times New Roman"/>
        </w:rPr>
        <w:t xml:space="preserve"> EU, (providing the FR regions for humanization) and the humanized variant </w:t>
      </w:r>
      <w:proofErr w:type="spellStart"/>
      <w:r w:rsidRPr="00110CE0">
        <w:rPr>
          <w:rFonts w:cs="Times New Roman"/>
        </w:rPr>
        <w:t>Daclizumab</w:t>
      </w:r>
      <w:proofErr w:type="spellEnd"/>
      <w:r w:rsidRPr="00110CE0">
        <w:rPr>
          <w:rFonts w:cs="Times New Roman"/>
        </w:rPr>
        <w:t>.</w:t>
      </w:r>
      <w:proofErr w:type="gramEnd"/>
      <w:r w:rsidRPr="00110CE0">
        <w:rPr>
          <w:rFonts w:cs="Times New Roman"/>
        </w:rPr>
        <w:t xml:space="preserve"> The first lanes (black arrows) indicate different nomenclatures for complementary determining regions defined by IMGT, </w:t>
      </w:r>
      <w:proofErr w:type="spellStart"/>
      <w:r w:rsidRPr="00110CE0">
        <w:rPr>
          <w:rFonts w:cs="Times New Roman"/>
        </w:rPr>
        <w:t>Kabat</w:t>
      </w:r>
      <w:proofErr w:type="spellEnd"/>
      <w:r w:rsidRPr="00110CE0">
        <w:rPr>
          <w:rFonts w:cs="Times New Roman"/>
        </w:rPr>
        <w:t xml:space="preserve"> and Queen.  Sequence related amino acid residues are indicated in green defining the canonical CDR structure class, red arrows show murine </w:t>
      </w:r>
      <w:proofErr w:type="spellStart"/>
      <w:r w:rsidRPr="00110CE0">
        <w:rPr>
          <w:rFonts w:cs="Times New Roman"/>
        </w:rPr>
        <w:t>backmutations</w:t>
      </w:r>
      <w:proofErr w:type="spellEnd"/>
      <w:r w:rsidRPr="00110CE0">
        <w:rPr>
          <w:rFonts w:cs="Times New Roman"/>
        </w:rPr>
        <w:t xml:space="preserve"> based on investigation of the crystal structure, orange arrows indicate unusual EU residues and blue arrows indicate deviations from the human IGHV1-46*01 </w:t>
      </w:r>
      <w:proofErr w:type="spellStart"/>
      <w:r w:rsidRPr="00110CE0">
        <w:rPr>
          <w:rFonts w:cs="Times New Roman"/>
        </w:rPr>
        <w:t>germline</w:t>
      </w:r>
      <w:proofErr w:type="spellEnd"/>
      <w:r w:rsidRPr="00110CE0">
        <w:rPr>
          <w:rFonts w:cs="Times New Roman"/>
        </w:rPr>
        <w:t xml:space="preserve">. </w:t>
      </w:r>
    </w:p>
    <w:p w:rsidR="00BC1C84" w:rsidRDefault="00BC1C84" w:rsidP="00BC1C84">
      <w:r>
        <w:rPr>
          <w:noProof/>
          <w:lang w:eastAsia="zh-CN"/>
        </w:rPr>
        <w:drawing>
          <wp:inline distT="0" distB="0" distL="0" distR="0" wp14:anchorId="59616E53" wp14:editId="09D24B62">
            <wp:extent cx="6332561" cy="3097384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551" cy="3105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C84" w:rsidRDefault="00BC1C84" w:rsidP="00BC1C84">
      <w:pPr>
        <w:spacing w:line="259" w:lineRule="auto"/>
        <w:jc w:val="left"/>
      </w:pPr>
      <w:r>
        <w:br w:type="page"/>
      </w:r>
    </w:p>
    <w:p w:rsidR="00BC1C84" w:rsidRPr="00140200" w:rsidRDefault="00BC1C84" w:rsidP="00BC1C84">
      <w:pPr>
        <w:pStyle w:val="3"/>
      </w:pPr>
      <w:bookmarkStart w:id="1" w:name="_Toc492882974"/>
      <w:r w:rsidRPr="00140200">
        <w:lastRenderedPageBreak/>
        <w:t>Supplement 2</w:t>
      </w:r>
    </w:p>
    <w:p w:rsidR="00BC1C84" w:rsidRPr="00140200" w:rsidRDefault="00BC1C84" w:rsidP="00BC1C84">
      <w:pPr>
        <w:spacing w:line="480" w:lineRule="auto"/>
        <w:rPr>
          <w:rFonts w:cs="Times New Roman"/>
        </w:rPr>
      </w:pPr>
      <w:proofErr w:type="spellStart"/>
      <w:r w:rsidRPr="00140200">
        <w:rPr>
          <w:rFonts w:cs="Times New Roman"/>
        </w:rPr>
        <w:t>Germinality</w:t>
      </w:r>
      <w:proofErr w:type="spellEnd"/>
      <w:r w:rsidRPr="00140200">
        <w:rPr>
          <w:rFonts w:cs="Times New Roman"/>
        </w:rPr>
        <w:t xml:space="preserve"> of selected human anti-HIV antibodies indicates that none of the neutralizing human </w:t>
      </w:r>
      <w:proofErr w:type="spellStart"/>
      <w:r w:rsidRPr="00140200">
        <w:rPr>
          <w:rFonts w:cs="Times New Roman"/>
        </w:rPr>
        <w:t>mAbs</w:t>
      </w:r>
      <w:proofErr w:type="spellEnd"/>
      <w:r w:rsidRPr="00140200">
        <w:rPr>
          <w:rFonts w:cs="Times New Roman"/>
        </w:rPr>
        <w:t xml:space="preserve"> would reach the 85% identity with the nearest related human </w:t>
      </w:r>
      <w:proofErr w:type="spellStart"/>
      <w:r w:rsidRPr="00140200">
        <w:rPr>
          <w:rFonts w:cs="Times New Roman"/>
        </w:rPr>
        <w:t>germline</w:t>
      </w:r>
      <w:proofErr w:type="spellEnd"/>
      <w:r w:rsidRPr="00140200">
        <w:rPr>
          <w:rFonts w:cs="Times New Roman"/>
        </w:rPr>
        <w:t xml:space="preserve"> for being categorized as "humanized". Only the non-neutralizing </w:t>
      </w:r>
      <w:proofErr w:type="spellStart"/>
      <w:r w:rsidRPr="00140200">
        <w:rPr>
          <w:rFonts w:cs="Times New Roman"/>
        </w:rPr>
        <w:t>mAb</w:t>
      </w:r>
      <w:proofErr w:type="spellEnd"/>
      <w:r w:rsidRPr="00140200">
        <w:rPr>
          <w:rFonts w:cs="Times New Roman"/>
        </w:rPr>
        <w:t xml:space="preserve"> 3D6 is highly homologous to the </w:t>
      </w:r>
      <w:proofErr w:type="spellStart"/>
      <w:r w:rsidRPr="00140200">
        <w:rPr>
          <w:rFonts w:cs="Times New Roman"/>
        </w:rPr>
        <w:t>germline</w:t>
      </w:r>
      <w:proofErr w:type="spellEnd"/>
      <w:r w:rsidRPr="00140200">
        <w:rPr>
          <w:rFonts w:cs="Times New Roman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1942"/>
        <w:gridCol w:w="1472"/>
        <w:gridCol w:w="1836"/>
        <w:gridCol w:w="1559"/>
      </w:tblGrid>
      <w:tr w:rsidR="00BC1C84" w:rsidRPr="00140200" w:rsidTr="00E85B66">
        <w:tc>
          <w:tcPr>
            <w:tcW w:w="1408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 xml:space="preserve">Anti-HIV </w:t>
            </w:r>
            <w:proofErr w:type="spellStart"/>
            <w:r w:rsidRPr="00140200">
              <w:rPr>
                <w:rFonts w:cs="Times New Roman"/>
              </w:rPr>
              <w:t>mAb</w:t>
            </w:r>
            <w:proofErr w:type="spellEnd"/>
          </w:p>
        </w:tc>
        <w:tc>
          <w:tcPr>
            <w:tcW w:w="194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proofErr w:type="spellStart"/>
            <w:r w:rsidRPr="00140200">
              <w:rPr>
                <w:rFonts w:cs="Times New Roman"/>
              </w:rPr>
              <w:t>Germline</w:t>
            </w:r>
            <w:proofErr w:type="spellEnd"/>
            <w:r w:rsidRPr="00140200">
              <w:rPr>
                <w:rFonts w:cs="Times New Roman"/>
              </w:rPr>
              <w:t xml:space="preserve"> VH</w:t>
            </w:r>
          </w:p>
        </w:tc>
        <w:tc>
          <w:tcPr>
            <w:tcW w:w="147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Identity</w:t>
            </w:r>
          </w:p>
        </w:tc>
        <w:tc>
          <w:tcPr>
            <w:tcW w:w="1836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proofErr w:type="spellStart"/>
            <w:r w:rsidRPr="00140200">
              <w:rPr>
                <w:rFonts w:cs="Times New Roman"/>
              </w:rPr>
              <w:t>Germline</w:t>
            </w:r>
            <w:proofErr w:type="spellEnd"/>
            <w:r w:rsidRPr="00140200">
              <w:rPr>
                <w:rFonts w:cs="Times New Roman"/>
              </w:rPr>
              <w:t xml:space="preserve"> VL</w:t>
            </w:r>
          </w:p>
        </w:tc>
        <w:tc>
          <w:tcPr>
            <w:tcW w:w="1559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Identity</w:t>
            </w:r>
          </w:p>
        </w:tc>
      </w:tr>
      <w:tr w:rsidR="00BC1C84" w:rsidRPr="00140200" w:rsidTr="00E85B66">
        <w:tc>
          <w:tcPr>
            <w:tcW w:w="1408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3D6</w:t>
            </w:r>
          </w:p>
        </w:tc>
        <w:tc>
          <w:tcPr>
            <w:tcW w:w="194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IGHV3-9*03</w:t>
            </w:r>
          </w:p>
        </w:tc>
        <w:tc>
          <w:tcPr>
            <w:tcW w:w="147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95.6%</w:t>
            </w:r>
          </w:p>
        </w:tc>
        <w:tc>
          <w:tcPr>
            <w:tcW w:w="1836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IGKV1-5*03</w:t>
            </w:r>
          </w:p>
        </w:tc>
        <w:tc>
          <w:tcPr>
            <w:tcW w:w="1559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97.9%</w:t>
            </w:r>
          </w:p>
        </w:tc>
      </w:tr>
      <w:tr w:rsidR="00BC1C84" w:rsidRPr="00140200" w:rsidTr="00E85B66">
        <w:tc>
          <w:tcPr>
            <w:tcW w:w="1408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4B3</w:t>
            </w:r>
          </w:p>
        </w:tc>
        <w:tc>
          <w:tcPr>
            <w:tcW w:w="194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IGHV1-69*10</w:t>
            </w:r>
          </w:p>
        </w:tc>
        <w:tc>
          <w:tcPr>
            <w:tcW w:w="147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82.5%</w:t>
            </w:r>
          </w:p>
        </w:tc>
        <w:tc>
          <w:tcPr>
            <w:tcW w:w="1836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IGLV6-57*01</w:t>
            </w:r>
          </w:p>
        </w:tc>
        <w:tc>
          <w:tcPr>
            <w:tcW w:w="1559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89.8%</w:t>
            </w:r>
          </w:p>
        </w:tc>
      </w:tr>
      <w:tr w:rsidR="00BC1C84" w:rsidRPr="00140200" w:rsidTr="00E85B66">
        <w:tc>
          <w:tcPr>
            <w:tcW w:w="1408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2F5</w:t>
            </w:r>
          </w:p>
        </w:tc>
        <w:tc>
          <w:tcPr>
            <w:tcW w:w="194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IGHV2-5*01</w:t>
            </w:r>
          </w:p>
        </w:tc>
        <w:tc>
          <w:tcPr>
            <w:tcW w:w="147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85.0%</w:t>
            </w:r>
          </w:p>
        </w:tc>
        <w:tc>
          <w:tcPr>
            <w:tcW w:w="1836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IGKV1-13*02</w:t>
            </w:r>
          </w:p>
        </w:tc>
        <w:tc>
          <w:tcPr>
            <w:tcW w:w="1559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85.3%</w:t>
            </w:r>
          </w:p>
        </w:tc>
      </w:tr>
      <w:tr w:rsidR="00BC1C84" w:rsidRPr="00140200" w:rsidTr="00E85B66">
        <w:tc>
          <w:tcPr>
            <w:tcW w:w="1408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2G12</w:t>
            </w:r>
          </w:p>
        </w:tc>
        <w:tc>
          <w:tcPr>
            <w:tcW w:w="194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IGHV3-21*01</w:t>
            </w:r>
          </w:p>
        </w:tc>
        <w:tc>
          <w:tcPr>
            <w:tcW w:w="147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78.9%</w:t>
            </w:r>
          </w:p>
        </w:tc>
        <w:tc>
          <w:tcPr>
            <w:tcW w:w="1836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IGKV1-5*03</w:t>
            </w:r>
          </w:p>
        </w:tc>
        <w:tc>
          <w:tcPr>
            <w:tcW w:w="1559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87.3%</w:t>
            </w:r>
          </w:p>
        </w:tc>
      </w:tr>
      <w:tr w:rsidR="00BC1C84" w:rsidRPr="00140200" w:rsidTr="00E85B66">
        <w:tc>
          <w:tcPr>
            <w:tcW w:w="1408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PG9</w:t>
            </w:r>
          </w:p>
        </w:tc>
        <w:tc>
          <w:tcPr>
            <w:tcW w:w="194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IGHV3-30*02</w:t>
            </w:r>
          </w:p>
        </w:tc>
        <w:tc>
          <w:tcPr>
            <w:tcW w:w="147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81.2%</w:t>
            </w:r>
          </w:p>
        </w:tc>
        <w:tc>
          <w:tcPr>
            <w:tcW w:w="1836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IGLV2-14*01</w:t>
            </w:r>
          </w:p>
        </w:tc>
        <w:tc>
          <w:tcPr>
            <w:tcW w:w="1559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87.5%</w:t>
            </w:r>
          </w:p>
        </w:tc>
      </w:tr>
      <w:tr w:rsidR="00BC1C84" w:rsidRPr="00140200" w:rsidTr="00E85B66">
        <w:tc>
          <w:tcPr>
            <w:tcW w:w="1408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PG16</w:t>
            </w:r>
          </w:p>
        </w:tc>
        <w:tc>
          <w:tcPr>
            <w:tcW w:w="194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IGHV3-30*03</w:t>
            </w:r>
          </w:p>
        </w:tc>
        <w:tc>
          <w:tcPr>
            <w:tcW w:w="1472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78.6%</w:t>
            </w:r>
          </w:p>
        </w:tc>
        <w:tc>
          <w:tcPr>
            <w:tcW w:w="1836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IGLV2-14*01</w:t>
            </w:r>
          </w:p>
        </w:tc>
        <w:tc>
          <w:tcPr>
            <w:tcW w:w="1559" w:type="dxa"/>
          </w:tcPr>
          <w:p w:rsidR="00BC1C84" w:rsidRPr="00140200" w:rsidRDefault="00BC1C84" w:rsidP="00E85B66">
            <w:pPr>
              <w:spacing w:line="480" w:lineRule="auto"/>
              <w:jc w:val="center"/>
              <w:rPr>
                <w:rFonts w:cs="Times New Roman"/>
              </w:rPr>
            </w:pPr>
            <w:r w:rsidRPr="00140200">
              <w:rPr>
                <w:rFonts w:cs="Times New Roman"/>
              </w:rPr>
              <w:t>80.4%</w:t>
            </w:r>
          </w:p>
        </w:tc>
      </w:tr>
      <w:bookmarkEnd w:id="1"/>
    </w:tbl>
    <w:p w:rsidR="00BC1C84" w:rsidRPr="00AF1817" w:rsidRDefault="00BC1C84" w:rsidP="00BC1C84"/>
    <w:p w:rsidR="00CD4CE4" w:rsidRDefault="00CD4CE4">
      <w:bookmarkStart w:id="2" w:name="_GoBack"/>
      <w:bookmarkEnd w:id="2"/>
    </w:p>
    <w:sectPr w:rsidR="00CD4CE4" w:rsidSect="00EE09A2">
      <w:pgSz w:w="12240" w:h="15840" w:code="2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84"/>
    <w:rsid w:val="006C60ED"/>
    <w:rsid w:val="00BC1C84"/>
    <w:rsid w:val="00C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84"/>
    <w:pPr>
      <w:spacing w:after="160" w:line="312" w:lineRule="auto"/>
      <w:jc w:val="both"/>
    </w:pPr>
    <w:rPr>
      <w:rFonts w:ascii="Times New Roman" w:hAnsi="Times New Roman"/>
      <w:kern w:val="0"/>
      <w:sz w:val="24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1C84"/>
    <w:pPr>
      <w:keepNext/>
      <w:keepLines/>
      <w:spacing w:before="12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1C84"/>
    <w:pPr>
      <w:keepNext/>
      <w:keepLines/>
      <w:spacing w:before="360" w:after="12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1C84"/>
    <w:rPr>
      <w:rFonts w:ascii="Times New Roman" w:eastAsiaTheme="majorEastAsia" w:hAnsi="Times New Roman" w:cstheme="majorBidi"/>
      <w:b/>
      <w:kern w:val="0"/>
      <w:sz w:val="32"/>
      <w:szCs w:val="26"/>
      <w:lang w:eastAsia="en-US"/>
    </w:rPr>
  </w:style>
  <w:style w:type="character" w:customStyle="1" w:styleId="3Char">
    <w:name w:val="标题 3 Char"/>
    <w:basedOn w:val="a0"/>
    <w:link w:val="3"/>
    <w:uiPriority w:val="9"/>
    <w:rsid w:val="00BC1C84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table" w:styleId="a3">
    <w:name w:val="Table Grid"/>
    <w:basedOn w:val="a1"/>
    <w:uiPriority w:val="39"/>
    <w:rsid w:val="00BC1C84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C1C8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1C84"/>
    <w:rPr>
      <w:rFonts w:ascii="Times New Roman" w:hAnsi="Times New Roman"/>
      <w:kern w:val="0"/>
      <w:sz w:val="18"/>
      <w:szCs w:val="18"/>
      <w:lang w:eastAsia="en-US"/>
    </w:rPr>
  </w:style>
  <w:style w:type="character" w:styleId="a5">
    <w:name w:val="line number"/>
    <w:basedOn w:val="a0"/>
    <w:uiPriority w:val="99"/>
    <w:semiHidden/>
    <w:unhideWhenUsed/>
    <w:rsid w:val="00BC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84"/>
    <w:pPr>
      <w:spacing w:after="160" w:line="312" w:lineRule="auto"/>
      <w:jc w:val="both"/>
    </w:pPr>
    <w:rPr>
      <w:rFonts w:ascii="Times New Roman" w:hAnsi="Times New Roman"/>
      <w:kern w:val="0"/>
      <w:sz w:val="24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1C84"/>
    <w:pPr>
      <w:keepNext/>
      <w:keepLines/>
      <w:spacing w:before="12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1C84"/>
    <w:pPr>
      <w:keepNext/>
      <w:keepLines/>
      <w:spacing w:before="360" w:after="12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1C84"/>
    <w:rPr>
      <w:rFonts w:ascii="Times New Roman" w:eastAsiaTheme="majorEastAsia" w:hAnsi="Times New Roman" w:cstheme="majorBidi"/>
      <w:b/>
      <w:kern w:val="0"/>
      <w:sz w:val="32"/>
      <w:szCs w:val="26"/>
      <w:lang w:eastAsia="en-US"/>
    </w:rPr>
  </w:style>
  <w:style w:type="character" w:customStyle="1" w:styleId="3Char">
    <w:name w:val="标题 3 Char"/>
    <w:basedOn w:val="a0"/>
    <w:link w:val="3"/>
    <w:uiPriority w:val="9"/>
    <w:rsid w:val="00BC1C84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table" w:styleId="a3">
    <w:name w:val="Table Grid"/>
    <w:basedOn w:val="a1"/>
    <w:uiPriority w:val="39"/>
    <w:rsid w:val="00BC1C84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C1C8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1C84"/>
    <w:rPr>
      <w:rFonts w:ascii="Times New Roman" w:hAnsi="Times New Roman"/>
      <w:kern w:val="0"/>
      <w:sz w:val="18"/>
      <w:szCs w:val="18"/>
      <w:lang w:eastAsia="en-US"/>
    </w:rPr>
  </w:style>
  <w:style w:type="character" w:styleId="a5">
    <w:name w:val="line number"/>
    <w:basedOn w:val="a0"/>
    <w:uiPriority w:val="99"/>
    <w:semiHidden/>
    <w:unhideWhenUsed/>
    <w:rsid w:val="00BC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</dc:creator>
  <cp:lastModifiedBy>liuji</cp:lastModifiedBy>
  <cp:revision>1</cp:revision>
  <dcterms:created xsi:type="dcterms:W3CDTF">2018-07-27T06:46:00Z</dcterms:created>
  <dcterms:modified xsi:type="dcterms:W3CDTF">2018-07-27T06:47:00Z</dcterms:modified>
</cp:coreProperties>
</file>