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361" w:rsidRDefault="00A63361" w:rsidP="00A63361">
      <w:pPr>
        <w:spacing w:line="480" w:lineRule="auto"/>
        <w:jc w:val="both"/>
        <w:rPr>
          <w:rFonts w:asciiTheme="majorHAnsi" w:hAnsiTheme="majorHAnsi" w:cs="Times New Roman"/>
          <w:b/>
          <w:bCs/>
          <w:sz w:val="20"/>
          <w:szCs w:val="20"/>
          <w:lang w:val="en-US"/>
        </w:rPr>
      </w:pPr>
      <w:bookmarkStart w:id="0" w:name="_GoBack"/>
      <w:bookmarkEnd w:id="0"/>
      <w:r>
        <w:rPr>
          <w:rFonts w:asciiTheme="majorHAnsi" w:hAnsiTheme="majorHAnsi" w:cs="Times New Roman"/>
          <w:b/>
          <w:bCs/>
          <w:sz w:val="20"/>
          <w:szCs w:val="20"/>
          <w:lang w:val="en-US"/>
        </w:rPr>
        <w:t>Supplement to:</w:t>
      </w:r>
    </w:p>
    <w:p w:rsidR="00A63361" w:rsidRDefault="00A63361" w:rsidP="00A63361">
      <w:pPr>
        <w:spacing w:line="480" w:lineRule="auto"/>
        <w:jc w:val="both"/>
        <w:rPr>
          <w:rFonts w:asciiTheme="majorHAnsi" w:hAnsiTheme="majorHAnsi" w:cs="Times New Roman"/>
          <w:b/>
          <w:bCs/>
          <w:sz w:val="20"/>
          <w:szCs w:val="20"/>
          <w:lang w:val="en-US"/>
        </w:rPr>
      </w:pPr>
      <w:r>
        <w:rPr>
          <w:rFonts w:asciiTheme="majorHAnsi" w:hAnsiTheme="majorHAnsi" w:cs="Times New Roman"/>
          <w:b/>
          <w:bCs/>
          <w:sz w:val="20"/>
          <w:szCs w:val="20"/>
          <w:lang w:val="en-US"/>
        </w:rPr>
        <w:t>“Modulation of Distinct Intrinsic Resting State Brain Networks by Acute Exercise Bouts of Differing Intensity”</w:t>
      </w:r>
    </w:p>
    <w:p w:rsidR="00A63361" w:rsidRDefault="00A63361" w:rsidP="00A63361">
      <w:pPr>
        <w:spacing w:line="480" w:lineRule="auto"/>
        <w:jc w:val="both"/>
        <w:rPr>
          <w:rFonts w:asciiTheme="majorHAnsi" w:hAnsiTheme="majorHAnsi"/>
          <w:b/>
          <w:sz w:val="20"/>
          <w:szCs w:val="20"/>
          <w:lang w:val="en-US"/>
        </w:rPr>
      </w:pPr>
    </w:p>
    <w:p w:rsidR="00A63361" w:rsidRDefault="00A63361" w:rsidP="00A63361">
      <w:pPr>
        <w:spacing w:line="480" w:lineRule="auto"/>
        <w:jc w:val="both"/>
        <w:rPr>
          <w:rFonts w:asciiTheme="majorHAnsi" w:hAnsiTheme="majorHAnsi"/>
          <w:b/>
          <w:sz w:val="20"/>
          <w:szCs w:val="20"/>
          <w:lang w:val="en-US"/>
        </w:rPr>
      </w:pPr>
      <w:r>
        <w:rPr>
          <w:rFonts w:asciiTheme="majorHAnsi" w:hAnsiTheme="majorHAnsi"/>
          <w:b/>
          <w:sz w:val="20"/>
          <w:szCs w:val="20"/>
          <w:lang w:val="en-US"/>
        </w:rPr>
        <w:t>Subgroup analysis including HR as covariate of no interest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Due to artifacts in recording HR (heart rate) during the resting state functional magnetic resonance imaging (</w:t>
      </w:r>
      <w:proofErr w:type="spellStart"/>
      <w:r>
        <w:rPr>
          <w:rFonts w:asciiTheme="majorHAnsi" w:hAnsiTheme="majorHAnsi" w:cs="Arial"/>
          <w:sz w:val="20"/>
          <w:szCs w:val="20"/>
          <w:lang w:val="en-US"/>
        </w:rPr>
        <w:t>rs</w:t>
      </w:r>
      <w:proofErr w:type="spellEnd"/>
      <w:r>
        <w:rPr>
          <w:rFonts w:asciiTheme="majorHAnsi" w:hAnsiTheme="majorHAnsi" w:cs="Arial"/>
          <w:sz w:val="20"/>
          <w:szCs w:val="20"/>
          <w:lang w:val="en-US"/>
        </w:rPr>
        <w:t xml:space="preserve">-fMRI) scan, we needed to exclude N=4 subjects for investigating the interaction effects between time (pre and post) and condition (‘low’ and ‘high’), and N=2 subjects for each exercise intervention resulting in a sample size of N=20 to compare pre to post ‘low’ exercise intensity and pre to post ‘high’ exercise intensity. Including the HR as covariate of no interest in our analysis lead to almost the same results, which we found for the whole group analysis without HR: </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r>
        <w:rPr>
          <w:rFonts w:asciiTheme="majorHAnsi" w:hAnsiTheme="majorHAnsi" w:cs="Arial"/>
          <w:sz w:val="20"/>
          <w:szCs w:val="20"/>
          <w:u w:val="single"/>
          <w:lang w:val="en-US"/>
        </w:rPr>
        <w:t>Right Affect and Reward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 xml:space="preserve">In the RARN we found no significant time x condition interaction in </w:t>
      </w:r>
      <w:proofErr w:type="spellStart"/>
      <w:r>
        <w:rPr>
          <w:rFonts w:asciiTheme="majorHAnsi" w:hAnsiTheme="majorHAnsi" w:cs="Arial"/>
          <w:sz w:val="20"/>
          <w:szCs w:val="20"/>
          <w:lang w:val="en-US"/>
        </w:rPr>
        <w:t>rs</w:t>
      </w:r>
      <w:proofErr w:type="spellEnd"/>
      <w:r>
        <w:rPr>
          <w:rFonts w:asciiTheme="majorHAnsi" w:hAnsiTheme="majorHAnsi" w:cs="Arial"/>
          <w:sz w:val="20"/>
          <w:szCs w:val="20"/>
          <w:lang w:val="en-US"/>
        </w:rPr>
        <w:t xml:space="preserve">-FC anymore, although a very strong trend was revealed. </w:t>
      </w:r>
      <w:proofErr w:type="spellStart"/>
      <w:r>
        <w:rPr>
          <w:rFonts w:asciiTheme="majorHAnsi" w:hAnsiTheme="majorHAnsi" w:cs="Arial"/>
          <w:sz w:val="20"/>
          <w:szCs w:val="20"/>
          <w:lang w:val="en-US"/>
        </w:rPr>
        <w:t>Thresholding</w:t>
      </w:r>
      <w:proofErr w:type="spellEnd"/>
      <w:r>
        <w:rPr>
          <w:rFonts w:asciiTheme="majorHAnsi" w:hAnsiTheme="majorHAnsi" w:cs="Arial"/>
          <w:sz w:val="20"/>
          <w:szCs w:val="20"/>
          <w:lang w:val="en-US"/>
        </w:rPr>
        <w:t xml:space="preserve"> the data with 0.1 revealed an increase in FC in the right insula (p=0.051) and right putamen (p=0.056) in the ‘high’ condition and a decrease in the ‘low’ condition. (</w:t>
      </w:r>
      <w:r>
        <w:rPr>
          <w:rFonts w:asciiTheme="majorHAnsi" w:hAnsiTheme="majorHAnsi" w:cs="Arial"/>
          <w:b/>
          <w:sz w:val="20"/>
          <w:szCs w:val="20"/>
          <w:lang w:val="en-US"/>
        </w:rPr>
        <w:t>Figure S1-A, Table S1</w:t>
      </w:r>
      <w:r>
        <w:rPr>
          <w:rFonts w:asciiTheme="majorHAnsi" w:hAnsiTheme="majorHAnsi" w:cs="Arial"/>
          <w:sz w:val="20"/>
          <w:szCs w:val="20"/>
          <w:lang w:val="en-US"/>
        </w:rPr>
        <w:t xml:space="preserve">). </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r>
        <w:rPr>
          <w:rFonts w:asciiTheme="majorHAnsi" w:hAnsiTheme="majorHAnsi" w:cs="Arial"/>
          <w:sz w:val="20"/>
          <w:szCs w:val="20"/>
          <w:u w:val="single"/>
          <w:lang w:val="en-US"/>
        </w:rPr>
        <w:t xml:space="preserve">Right </w:t>
      </w:r>
      <w:proofErr w:type="spellStart"/>
      <w:r>
        <w:rPr>
          <w:rFonts w:asciiTheme="majorHAnsi" w:hAnsiTheme="majorHAnsi" w:cs="Arial"/>
          <w:sz w:val="20"/>
          <w:szCs w:val="20"/>
          <w:u w:val="single"/>
          <w:lang w:val="en-US"/>
        </w:rPr>
        <w:t>Fronto</w:t>
      </w:r>
      <w:proofErr w:type="spellEnd"/>
      <w:r>
        <w:rPr>
          <w:rFonts w:asciiTheme="majorHAnsi" w:hAnsiTheme="majorHAnsi" w:cs="Arial"/>
          <w:sz w:val="20"/>
          <w:szCs w:val="20"/>
          <w:u w:val="single"/>
          <w:lang w:val="en-US"/>
        </w:rPr>
        <w:t xml:space="preserve"> Parietal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 xml:space="preserve">Results of the </w:t>
      </w:r>
      <w:proofErr w:type="spellStart"/>
      <w:r>
        <w:rPr>
          <w:rFonts w:asciiTheme="majorHAnsi" w:hAnsiTheme="majorHAnsi" w:cs="Arial"/>
          <w:sz w:val="20"/>
          <w:szCs w:val="20"/>
          <w:lang w:val="en-US"/>
        </w:rPr>
        <w:t>rs</w:t>
      </w:r>
      <w:proofErr w:type="spellEnd"/>
      <w:r>
        <w:rPr>
          <w:rFonts w:asciiTheme="majorHAnsi" w:hAnsiTheme="majorHAnsi" w:cs="Arial"/>
          <w:sz w:val="20"/>
          <w:szCs w:val="20"/>
          <w:lang w:val="en-US"/>
        </w:rPr>
        <w:t xml:space="preserve">-FC analysis in the RFPN indicated a significant time x condition interaction in the right middle frontal </w:t>
      </w:r>
      <w:proofErr w:type="spellStart"/>
      <w:r>
        <w:rPr>
          <w:rFonts w:asciiTheme="majorHAnsi" w:hAnsiTheme="majorHAnsi" w:cs="Arial"/>
          <w:sz w:val="20"/>
          <w:szCs w:val="20"/>
          <w:lang w:val="en-US"/>
        </w:rPr>
        <w:t>gyrus</w:t>
      </w:r>
      <w:proofErr w:type="spellEnd"/>
      <w:r>
        <w:rPr>
          <w:rFonts w:asciiTheme="majorHAnsi" w:hAnsiTheme="majorHAnsi" w:cs="Arial"/>
          <w:sz w:val="20"/>
          <w:szCs w:val="20"/>
          <w:lang w:val="en-US"/>
        </w:rPr>
        <w:t xml:space="preserve"> (</w:t>
      </w:r>
      <w:r>
        <w:rPr>
          <w:rFonts w:asciiTheme="majorHAnsi" w:hAnsiTheme="majorHAnsi" w:cs="Arial"/>
          <w:b/>
          <w:sz w:val="20"/>
          <w:szCs w:val="20"/>
          <w:lang w:val="en-US"/>
        </w:rPr>
        <w:t>Figure S1-B, Table S1</w:t>
      </w:r>
      <w:r>
        <w:rPr>
          <w:rFonts w:asciiTheme="majorHAnsi" w:hAnsiTheme="majorHAnsi" w:cs="Arial"/>
          <w:sz w:val="20"/>
          <w:szCs w:val="20"/>
          <w:lang w:val="en-US"/>
        </w:rPr>
        <w:t xml:space="preserve">), driven by a significant increase in FC after ‘low’ exercise intensity in the right middle frontal </w:t>
      </w:r>
      <w:proofErr w:type="spellStart"/>
      <w:r>
        <w:rPr>
          <w:rFonts w:asciiTheme="majorHAnsi" w:hAnsiTheme="majorHAnsi" w:cs="Arial"/>
          <w:sz w:val="20"/>
          <w:szCs w:val="20"/>
          <w:lang w:val="en-US"/>
        </w:rPr>
        <w:t>gyrus</w:t>
      </w:r>
      <w:proofErr w:type="spellEnd"/>
      <w:r>
        <w:rPr>
          <w:rFonts w:asciiTheme="majorHAnsi" w:hAnsiTheme="majorHAnsi" w:cs="Arial"/>
          <w:sz w:val="20"/>
          <w:szCs w:val="20"/>
          <w:lang w:val="en-US"/>
        </w:rPr>
        <w:t xml:space="preserve"> (MFG) and the left cerebellar crus 2 (</w:t>
      </w:r>
      <w:r>
        <w:rPr>
          <w:rFonts w:asciiTheme="majorHAnsi" w:hAnsiTheme="majorHAnsi" w:cs="Arial"/>
          <w:b/>
          <w:sz w:val="20"/>
          <w:szCs w:val="20"/>
          <w:lang w:val="en-US"/>
        </w:rPr>
        <w:t>Figure S2-D, Table S2</w:t>
      </w:r>
      <w:r>
        <w:rPr>
          <w:rFonts w:asciiTheme="majorHAnsi" w:hAnsiTheme="majorHAnsi" w:cs="Arial"/>
          <w:sz w:val="20"/>
          <w:szCs w:val="20"/>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r>
        <w:rPr>
          <w:rFonts w:asciiTheme="majorHAnsi" w:hAnsiTheme="majorHAnsi" w:cs="Arial"/>
          <w:sz w:val="20"/>
          <w:szCs w:val="20"/>
          <w:u w:val="single"/>
          <w:lang w:val="en-US"/>
        </w:rPr>
        <w:t xml:space="preserve">Sensorimotor Network </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 xml:space="preserve">The </w:t>
      </w:r>
      <w:proofErr w:type="spellStart"/>
      <w:r>
        <w:rPr>
          <w:rFonts w:asciiTheme="majorHAnsi" w:hAnsiTheme="majorHAnsi" w:cs="Arial"/>
          <w:sz w:val="20"/>
          <w:szCs w:val="20"/>
          <w:lang w:val="en-US"/>
        </w:rPr>
        <w:t>rs</w:t>
      </w:r>
      <w:proofErr w:type="spellEnd"/>
      <w:r>
        <w:rPr>
          <w:rFonts w:asciiTheme="majorHAnsi" w:hAnsiTheme="majorHAnsi" w:cs="Arial"/>
          <w:sz w:val="20"/>
          <w:szCs w:val="20"/>
          <w:lang w:val="en-US"/>
        </w:rPr>
        <w:t xml:space="preserve">-FC analysis in the SMN revealed a significant time x condition interaction in the </w:t>
      </w:r>
      <w:proofErr w:type="spellStart"/>
      <w:r>
        <w:rPr>
          <w:rFonts w:asciiTheme="majorHAnsi" w:hAnsiTheme="majorHAnsi" w:cs="Arial"/>
          <w:sz w:val="20"/>
          <w:szCs w:val="20"/>
          <w:lang w:val="en-US"/>
        </w:rPr>
        <w:t>postcentral</w:t>
      </w:r>
      <w:proofErr w:type="spellEnd"/>
      <w:r>
        <w:rPr>
          <w:rFonts w:asciiTheme="majorHAnsi" w:hAnsiTheme="majorHAnsi" w:cs="Arial"/>
          <w:sz w:val="20"/>
          <w:szCs w:val="20"/>
          <w:lang w:val="en-US"/>
        </w:rPr>
        <w:t xml:space="preserve"> </w:t>
      </w:r>
      <w:proofErr w:type="spellStart"/>
      <w:r>
        <w:rPr>
          <w:rFonts w:asciiTheme="majorHAnsi" w:hAnsiTheme="majorHAnsi" w:cs="Arial"/>
          <w:sz w:val="20"/>
          <w:szCs w:val="20"/>
          <w:lang w:val="en-US"/>
        </w:rPr>
        <w:t>gyrus</w:t>
      </w:r>
      <w:proofErr w:type="spellEnd"/>
      <w:r>
        <w:rPr>
          <w:rFonts w:asciiTheme="majorHAnsi" w:hAnsiTheme="majorHAnsi" w:cs="Arial"/>
          <w:sz w:val="20"/>
          <w:szCs w:val="20"/>
          <w:lang w:val="en-US"/>
        </w:rPr>
        <w:t xml:space="preserve"> and </w:t>
      </w:r>
      <w:proofErr w:type="spellStart"/>
      <w:r>
        <w:rPr>
          <w:rFonts w:asciiTheme="majorHAnsi" w:hAnsiTheme="majorHAnsi" w:cs="Arial"/>
          <w:sz w:val="20"/>
          <w:szCs w:val="20"/>
          <w:lang w:val="en-US"/>
        </w:rPr>
        <w:t>precuneus</w:t>
      </w:r>
      <w:proofErr w:type="spellEnd"/>
      <w:r>
        <w:rPr>
          <w:rFonts w:asciiTheme="majorHAnsi" w:hAnsiTheme="majorHAnsi" w:cs="Arial"/>
          <w:sz w:val="20"/>
          <w:szCs w:val="20"/>
          <w:lang w:val="en-US"/>
        </w:rPr>
        <w:t xml:space="preserve"> (</w:t>
      </w:r>
      <w:r>
        <w:rPr>
          <w:rFonts w:asciiTheme="majorHAnsi" w:hAnsiTheme="majorHAnsi" w:cs="Arial"/>
          <w:b/>
          <w:sz w:val="20"/>
          <w:szCs w:val="20"/>
          <w:lang w:val="en-US"/>
        </w:rPr>
        <w:t>Figure S1-C, Table S1</w:t>
      </w:r>
      <w:r>
        <w:rPr>
          <w:rFonts w:asciiTheme="majorHAnsi" w:hAnsiTheme="majorHAnsi" w:cs="Arial"/>
          <w:sz w:val="20"/>
          <w:szCs w:val="20"/>
          <w:lang w:val="en-US"/>
        </w:rPr>
        <w:t xml:space="preserve">). Comparing pre versus post ‘high’ exercise condition showed a significant decrease in </w:t>
      </w:r>
      <w:proofErr w:type="spellStart"/>
      <w:r>
        <w:rPr>
          <w:rFonts w:asciiTheme="majorHAnsi" w:hAnsiTheme="majorHAnsi" w:cs="Arial"/>
          <w:sz w:val="20"/>
          <w:szCs w:val="20"/>
          <w:lang w:val="en-US"/>
        </w:rPr>
        <w:t>rs</w:t>
      </w:r>
      <w:proofErr w:type="spellEnd"/>
      <w:r>
        <w:rPr>
          <w:rFonts w:asciiTheme="majorHAnsi" w:hAnsiTheme="majorHAnsi" w:cs="Arial"/>
          <w:sz w:val="20"/>
          <w:szCs w:val="20"/>
          <w:lang w:val="en-US"/>
        </w:rPr>
        <w:t xml:space="preserve">-FC also in the </w:t>
      </w:r>
      <w:proofErr w:type="spellStart"/>
      <w:r>
        <w:rPr>
          <w:rFonts w:asciiTheme="majorHAnsi" w:hAnsiTheme="majorHAnsi" w:cs="Arial"/>
          <w:sz w:val="20"/>
          <w:szCs w:val="20"/>
          <w:lang w:val="en-US"/>
        </w:rPr>
        <w:t>postcentral</w:t>
      </w:r>
      <w:proofErr w:type="spellEnd"/>
      <w:r>
        <w:rPr>
          <w:rFonts w:asciiTheme="majorHAnsi" w:hAnsiTheme="majorHAnsi" w:cs="Arial"/>
          <w:sz w:val="20"/>
          <w:szCs w:val="20"/>
          <w:lang w:val="en-US"/>
        </w:rPr>
        <w:t xml:space="preserve"> </w:t>
      </w:r>
      <w:proofErr w:type="spellStart"/>
      <w:r>
        <w:rPr>
          <w:rFonts w:asciiTheme="majorHAnsi" w:hAnsiTheme="majorHAnsi" w:cs="Arial"/>
          <w:sz w:val="20"/>
          <w:szCs w:val="20"/>
          <w:lang w:val="en-US"/>
        </w:rPr>
        <w:t>gyrus</w:t>
      </w:r>
      <w:proofErr w:type="spellEnd"/>
      <w:r>
        <w:rPr>
          <w:rFonts w:asciiTheme="majorHAnsi" w:hAnsiTheme="majorHAnsi" w:cs="Arial"/>
          <w:sz w:val="20"/>
          <w:szCs w:val="20"/>
          <w:lang w:val="en-US"/>
        </w:rPr>
        <w:t xml:space="preserve"> and MCC (</w:t>
      </w:r>
      <w:r>
        <w:rPr>
          <w:rFonts w:asciiTheme="majorHAnsi" w:hAnsiTheme="majorHAnsi" w:cs="Arial"/>
          <w:b/>
          <w:sz w:val="20"/>
          <w:szCs w:val="20"/>
          <w:lang w:val="en-US"/>
        </w:rPr>
        <w:t>Figure S2-F, Table S2</w:t>
      </w:r>
      <w:r>
        <w:rPr>
          <w:rFonts w:asciiTheme="majorHAnsi" w:hAnsiTheme="majorHAnsi" w:cs="Arial"/>
          <w:sz w:val="20"/>
          <w:szCs w:val="20"/>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rPr>
          <w:rFonts w:asciiTheme="majorHAnsi" w:hAnsiTheme="majorHAnsi" w:cs="Arial"/>
          <w:sz w:val="20"/>
          <w:szCs w:val="20"/>
          <w:lang w:val="en-US"/>
        </w:rPr>
      </w:pPr>
      <w:r>
        <w:rPr>
          <w:rFonts w:asciiTheme="majorHAnsi" w:hAnsiTheme="majorHAnsi" w:cs="Arial"/>
          <w:noProof/>
          <w:sz w:val="20"/>
          <w:szCs w:val="20"/>
          <w:lang w:val="en-US" w:eastAsia="en-US"/>
        </w:rPr>
        <w:lastRenderedPageBreak/>
        <w:drawing>
          <wp:inline distT="0" distB="0" distL="0" distR="0">
            <wp:extent cx="5763260" cy="4029075"/>
            <wp:effectExtent l="0" t="0" r="889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3260" cy="4029075"/>
                    </a:xfrm>
                    <a:prstGeom prst="rect">
                      <a:avLst/>
                    </a:prstGeom>
                    <a:noFill/>
                    <a:ln>
                      <a:noFill/>
                    </a:ln>
                  </pic:spPr>
                </pic:pic>
              </a:graphicData>
            </a:graphic>
          </wp:inline>
        </w:drawing>
      </w:r>
    </w:p>
    <w:p w:rsidR="00A63361" w:rsidRDefault="00A63361" w:rsidP="00A63361">
      <w:pPr>
        <w:jc w:val="both"/>
        <w:rPr>
          <w:rFonts w:asciiTheme="majorHAnsi" w:hAnsiTheme="majorHAnsi"/>
          <w:sz w:val="18"/>
          <w:szCs w:val="20"/>
          <w:lang w:val="en-US"/>
        </w:rPr>
      </w:pPr>
      <w:r>
        <w:rPr>
          <w:rFonts w:asciiTheme="majorHAnsi" w:hAnsiTheme="majorHAnsi" w:cstheme="majorHAnsi"/>
          <w:b/>
          <w:sz w:val="18"/>
          <w:szCs w:val="20"/>
          <w:lang w:val="en-US"/>
        </w:rPr>
        <w:t xml:space="preserve">Figure S1: FC changes </w:t>
      </w:r>
      <w:r>
        <w:rPr>
          <w:rFonts w:asciiTheme="majorHAnsi" w:hAnsiTheme="majorHAnsi" w:cs="Arial"/>
          <w:b/>
          <w:sz w:val="18"/>
          <w:szCs w:val="20"/>
          <w:lang w:val="en-US"/>
        </w:rPr>
        <w:t xml:space="preserve">observed significantly different between conditions (‘low’ and ‘high’ intensity) when including HR as covariate of no interest in our analyses. </w:t>
      </w:r>
      <w:r>
        <w:rPr>
          <w:rFonts w:asciiTheme="majorHAnsi" w:hAnsiTheme="majorHAnsi" w:cstheme="majorHAnsi"/>
          <w:sz w:val="18"/>
          <w:szCs w:val="20"/>
          <w:lang w:val="en-US"/>
        </w:rPr>
        <w:t xml:space="preserve">Significant clusters in the interaction of the: A) RARN in the right anterior insula and right putamen (trend only, results are presented at p=0.1); B) RFPN in the right middle frontal </w:t>
      </w:r>
      <w:proofErr w:type="spellStart"/>
      <w:r>
        <w:rPr>
          <w:rFonts w:asciiTheme="majorHAnsi" w:hAnsiTheme="majorHAnsi" w:cstheme="majorHAnsi"/>
          <w:sz w:val="18"/>
          <w:szCs w:val="20"/>
          <w:lang w:val="en-US"/>
        </w:rPr>
        <w:t>gyrus</w:t>
      </w:r>
      <w:proofErr w:type="spellEnd"/>
      <w:r>
        <w:rPr>
          <w:rFonts w:asciiTheme="majorHAnsi" w:hAnsiTheme="majorHAnsi" w:cstheme="majorHAnsi"/>
          <w:sz w:val="18"/>
          <w:szCs w:val="20"/>
          <w:lang w:val="en-US"/>
        </w:rPr>
        <w:t xml:space="preserve"> (MFG); C) SMN in the left </w:t>
      </w:r>
      <w:proofErr w:type="spellStart"/>
      <w:r>
        <w:rPr>
          <w:rFonts w:asciiTheme="majorHAnsi" w:hAnsiTheme="majorHAnsi" w:cstheme="majorHAnsi"/>
          <w:sz w:val="18"/>
          <w:szCs w:val="20"/>
          <w:lang w:val="en-US"/>
        </w:rPr>
        <w:t>postcentral</w:t>
      </w:r>
      <w:proofErr w:type="spellEnd"/>
      <w:r>
        <w:rPr>
          <w:rFonts w:asciiTheme="majorHAnsi" w:hAnsiTheme="majorHAnsi" w:cstheme="majorHAnsi"/>
          <w:sz w:val="18"/>
          <w:szCs w:val="20"/>
          <w:lang w:val="en-US"/>
        </w:rPr>
        <w:t xml:space="preserve"> </w:t>
      </w:r>
      <w:proofErr w:type="spellStart"/>
      <w:r>
        <w:rPr>
          <w:rFonts w:asciiTheme="majorHAnsi" w:hAnsiTheme="majorHAnsi" w:cstheme="majorHAnsi"/>
          <w:sz w:val="18"/>
          <w:szCs w:val="20"/>
          <w:lang w:val="en-US"/>
        </w:rPr>
        <w:t>gyrus</w:t>
      </w:r>
      <w:proofErr w:type="spellEnd"/>
      <w:r>
        <w:rPr>
          <w:rFonts w:asciiTheme="majorHAnsi" w:hAnsiTheme="majorHAnsi" w:cstheme="majorHAnsi"/>
          <w:sz w:val="18"/>
          <w:szCs w:val="20"/>
          <w:lang w:val="en-US"/>
        </w:rPr>
        <w:t xml:space="preserve"> and </w:t>
      </w:r>
      <w:proofErr w:type="spellStart"/>
      <w:r>
        <w:rPr>
          <w:rFonts w:asciiTheme="majorHAnsi" w:hAnsiTheme="majorHAnsi" w:cstheme="majorHAnsi"/>
          <w:sz w:val="18"/>
          <w:szCs w:val="20"/>
          <w:lang w:val="en-US"/>
        </w:rPr>
        <w:t>precuneus</w:t>
      </w:r>
      <w:proofErr w:type="spellEnd"/>
      <w:r>
        <w:rPr>
          <w:rFonts w:asciiTheme="majorHAnsi" w:hAnsiTheme="majorHAnsi" w:cstheme="majorHAnsi"/>
          <w:sz w:val="18"/>
          <w:szCs w:val="20"/>
          <w:lang w:val="en-US"/>
        </w:rPr>
        <w:t>; data shown is corrected for p&lt;0.05, after multiple comparison correction using TFCE approach</w:t>
      </w:r>
      <w:r>
        <w:rPr>
          <w:rFonts w:asciiTheme="majorHAnsi" w:hAnsiTheme="majorHAnsi" w:cstheme="majorHAnsi"/>
          <w:sz w:val="18"/>
          <w:szCs w:val="20"/>
          <w:highlight w:val="yellow"/>
          <w:lang w:val="en-US"/>
        </w:rPr>
        <w:t>; z-values were normalized by dividing them by SD; For enhancing the contrast between the activation clusters and the RSN masks, we chose either blue or red for the activation clusters. The colors do not indicate increases or decreases.</w:t>
      </w:r>
      <w:r>
        <w:rPr>
          <w:rFonts w:asciiTheme="majorHAnsi" w:hAnsiTheme="majorHAnsi" w:cstheme="majorHAnsi"/>
          <w:sz w:val="18"/>
          <w:szCs w:val="20"/>
          <w:lang w:val="en-US"/>
        </w:rPr>
        <w:t xml:space="preserve"> </w:t>
      </w:r>
      <w:r>
        <w:rPr>
          <w:rFonts w:asciiTheme="majorHAnsi" w:hAnsiTheme="majorHAnsi" w:cs="Arial"/>
          <w:sz w:val="18"/>
          <w:szCs w:val="20"/>
          <w:lang w:val="en-US"/>
        </w:rPr>
        <w:t>R = right; L = left</w:t>
      </w:r>
      <w:r>
        <w:rPr>
          <w:rFonts w:asciiTheme="majorHAnsi" w:hAnsiTheme="majorHAnsi" w:cstheme="majorHAnsi"/>
          <w:sz w:val="18"/>
          <w:szCs w:val="20"/>
          <w:lang w:val="en-US"/>
        </w:rPr>
        <w:t>.</w:t>
      </w:r>
    </w:p>
    <w:p w:rsidR="00A63361" w:rsidRDefault="00A63361" w:rsidP="00A63361">
      <w:pPr>
        <w:rPr>
          <w:rFonts w:asciiTheme="majorHAnsi" w:hAnsiTheme="majorHAnsi" w:cs="Arial"/>
          <w:b/>
          <w:sz w:val="20"/>
          <w:szCs w:val="20"/>
          <w:lang w:val="en-US"/>
        </w:rPr>
      </w:pPr>
      <w:r>
        <w:rPr>
          <w:rFonts w:asciiTheme="majorHAnsi" w:hAnsiTheme="majorHAnsi" w:cs="Arial"/>
          <w:b/>
          <w:sz w:val="20"/>
          <w:szCs w:val="20"/>
          <w:lang w:val="en-US"/>
        </w:rPr>
        <w:br w:type="page"/>
      </w:r>
    </w:p>
    <w:tbl>
      <w:tblPr>
        <w:tblStyle w:val="TableGrid"/>
        <w:tblW w:w="9105" w:type="dxa"/>
        <w:tblInd w:w="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0"/>
        <w:gridCol w:w="930"/>
        <w:gridCol w:w="1084"/>
        <w:gridCol w:w="679"/>
        <w:gridCol w:w="679"/>
        <w:gridCol w:w="679"/>
        <w:gridCol w:w="1524"/>
      </w:tblGrid>
      <w:tr w:rsidR="00A63361" w:rsidTr="00A63361">
        <w:trPr>
          <w:trHeight w:hRule="exact" w:val="379"/>
        </w:trPr>
        <w:tc>
          <w:tcPr>
            <w:tcW w:w="3528"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lang w:val="en-US"/>
              </w:rPr>
            </w:pPr>
            <w:r>
              <w:rPr>
                <w:rFonts w:asciiTheme="majorHAnsi" w:hAnsiTheme="majorHAnsi" w:cs="Arial"/>
                <w:b/>
                <w:sz w:val="20"/>
                <w:szCs w:val="20"/>
                <w:lang w:val="en-US"/>
              </w:rPr>
              <w:lastRenderedPageBreak/>
              <w:t>brain region</w:t>
            </w:r>
          </w:p>
        </w:tc>
        <w:tc>
          <w:tcPr>
            <w:tcW w:w="92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lang w:val="en-US"/>
              </w:rPr>
            </w:pPr>
            <w:r>
              <w:rPr>
                <w:rFonts w:asciiTheme="majorHAnsi" w:hAnsiTheme="majorHAnsi" w:cs="Arial"/>
                <w:b/>
                <w:sz w:val="20"/>
                <w:szCs w:val="20"/>
                <w:lang w:val="en-US"/>
              </w:rPr>
              <w:t>side</w:t>
            </w:r>
          </w:p>
        </w:tc>
        <w:tc>
          <w:tcPr>
            <w:tcW w:w="1083"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lang w:val="en-US"/>
              </w:rPr>
            </w:pPr>
            <w:r>
              <w:rPr>
                <w:rFonts w:asciiTheme="majorHAnsi" w:hAnsiTheme="majorHAnsi" w:cs="Arial"/>
                <w:b/>
                <w:sz w:val="20"/>
                <w:szCs w:val="20"/>
                <w:lang w:val="en-US"/>
              </w:rPr>
              <w:t>k</w:t>
            </w:r>
          </w:p>
        </w:tc>
        <w:tc>
          <w:tcPr>
            <w:tcW w:w="67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lang w:val="en-US"/>
              </w:rPr>
            </w:pPr>
            <w:r>
              <w:rPr>
                <w:rFonts w:asciiTheme="majorHAnsi" w:hAnsiTheme="majorHAnsi" w:cs="Arial"/>
                <w:b/>
                <w:sz w:val="20"/>
                <w:szCs w:val="20"/>
                <w:lang w:val="en-US"/>
              </w:rPr>
              <w:t>x</w:t>
            </w:r>
          </w:p>
        </w:tc>
        <w:tc>
          <w:tcPr>
            <w:tcW w:w="67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lang w:val="en-US"/>
              </w:rPr>
            </w:pPr>
            <w:r>
              <w:rPr>
                <w:rFonts w:asciiTheme="majorHAnsi" w:hAnsiTheme="majorHAnsi" w:cs="Arial"/>
                <w:b/>
                <w:sz w:val="20"/>
                <w:szCs w:val="20"/>
                <w:lang w:val="en-US"/>
              </w:rPr>
              <w:t>y</w:t>
            </w:r>
          </w:p>
        </w:tc>
        <w:tc>
          <w:tcPr>
            <w:tcW w:w="67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lang w:val="en-US"/>
              </w:rPr>
            </w:pPr>
            <w:r>
              <w:rPr>
                <w:rFonts w:asciiTheme="majorHAnsi" w:hAnsiTheme="majorHAnsi" w:cs="Arial"/>
                <w:b/>
                <w:sz w:val="20"/>
                <w:szCs w:val="20"/>
                <w:lang w:val="en-US"/>
              </w:rPr>
              <w:t>z</w:t>
            </w:r>
          </w:p>
        </w:tc>
        <w:tc>
          <w:tcPr>
            <w:tcW w:w="1523"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lang w:val="en-US"/>
              </w:rPr>
            </w:pPr>
            <w:r>
              <w:rPr>
                <w:rFonts w:asciiTheme="majorHAnsi" w:hAnsiTheme="majorHAnsi" w:cs="Arial"/>
                <w:b/>
                <w:sz w:val="20"/>
                <w:szCs w:val="20"/>
                <w:lang w:val="en-US"/>
              </w:rPr>
              <w:t>p-value (</w:t>
            </w:r>
            <w:proofErr w:type="spellStart"/>
            <w:r>
              <w:rPr>
                <w:rFonts w:asciiTheme="majorHAnsi" w:hAnsiTheme="majorHAnsi" w:cs="Arial"/>
                <w:b/>
                <w:sz w:val="20"/>
                <w:szCs w:val="20"/>
                <w:lang w:val="en-US"/>
              </w:rPr>
              <w:t>tfce</w:t>
            </w:r>
            <w:proofErr w:type="spellEnd"/>
            <w:r>
              <w:rPr>
                <w:rFonts w:asciiTheme="majorHAnsi" w:hAnsiTheme="majorHAnsi" w:cs="Arial"/>
                <w:b/>
                <w:sz w:val="20"/>
                <w:szCs w:val="20"/>
                <w:lang w:val="en-US"/>
              </w:rPr>
              <w:t>)</w:t>
            </w:r>
          </w:p>
        </w:tc>
      </w:tr>
      <w:tr w:rsidR="00A63361" w:rsidTr="00A63361">
        <w:trPr>
          <w:trHeight w:val="711"/>
        </w:trPr>
        <w:tc>
          <w:tcPr>
            <w:tcW w:w="4457" w:type="dxa"/>
            <w:gridSpan w:val="2"/>
            <w:tcBorders>
              <w:top w:val="single" w:sz="18" w:space="0" w:color="auto"/>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u w:val="single"/>
                <w:lang w:val="en-US"/>
              </w:rPr>
            </w:pPr>
            <w:r>
              <w:rPr>
                <w:rFonts w:asciiTheme="majorHAnsi" w:hAnsiTheme="majorHAnsi" w:cs="Arial"/>
                <w:i/>
                <w:sz w:val="20"/>
                <w:szCs w:val="20"/>
                <w:u w:val="single"/>
                <w:lang w:val="en-US"/>
              </w:rPr>
              <w:t xml:space="preserve">RARN – ‘high’ &gt; ‘low’ </w:t>
            </w:r>
          </w:p>
        </w:tc>
        <w:tc>
          <w:tcPr>
            <w:tcW w:w="1083"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1523"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insula</w:t>
            </w:r>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R</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15</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30</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14</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-14</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0.051**</w:t>
            </w: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putamen</w:t>
            </w:r>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R</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14</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26</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14</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-2</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0.056**</w:t>
            </w:r>
          </w:p>
        </w:tc>
      </w:tr>
      <w:tr w:rsidR="00A63361" w:rsidTr="00A63361">
        <w:trPr>
          <w:trHeight w:val="711"/>
        </w:trPr>
        <w:tc>
          <w:tcPr>
            <w:tcW w:w="4457" w:type="dxa"/>
            <w:gridSpan w:val="2"/>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u w:val="single"/>
                <w:lang w:val="en-US"/>
              </w:rPr>
            </w:pPr>
            <w:r>
              <w:rPr>
                <w:rFonts w:asciiTheme="majorHAnsi" w:hAnsiTheme="majorHAnsi" w:cs="Arial"/>
                <w:i/>
                <w:sz w:val="20"/>
                <w:szCs w:val="20"/>
                <w:u w:val="single"/>
                <w:lang w:val="en-US"/>
              </w:rPr>
              <w:t>RFPN - ‘low’ &gt; ‘high’</w:t>
            </w:r>
          </w:p>
        </w:tc>
        <w:tc>
          <w:tcPr>
            <w:tcW w:w="108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152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 xml:space="preserve">middle frontal </w:t>
            </w:r>
            <w:proofErr w:type="spellStart"/>
            <w:r>
              <w:rPr>
                <w:rFonts w:asciiTheme="majorHAnsi" w:hAnsiTheme="majorHAnsi" w:cs="Arial"/>
                <w:sz w:val="20"/>
                <w:szCs w:val="20"/>
                <w:lang w:val="en-US"/>
              </w:rPr>
              <w:t>gyrus</w:t>
            </w:r>
            <w:proofErr w:type="spellEnd"/>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R</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78</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32</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18</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54</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0.017</w:t>
            </w: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 xml:space="preserve">middle frontal </w:t>
            </w:r>
            <w:proofErr w:type="spellStart"/>
            <w:r>
              <w:rPr>
                <w:rFonts w:asciiTheme="majorHAnsi" w:hAnsiTheme="majorHAnsi" w:cs="Arial"/>
                <w:sz w:val="20"/>
                <w:szCs w:val="20"/>
                <w:lang w:val="en-US"/>
              </w:rPr>
              <w:t>gyrus</w:t>
            </w:r>
            <w:proofErr w:type="spellEnd"/>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R</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10</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40</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28</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42</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0.039</w:t>
            </w:r>
          </w:p>
        </w:tc>
      </w:tr>
      <w:tr w:rsidR="00A63361" w:rsidTr="00A63361">
        <w:trPr>
          <w:trHeight w:val="711"/>
        </w:trPr>
        <w:tc>
          <w:tcPr>
            <w:tcW w:w="4457" w:type="dxa"/>
            <w:gridSpan w:val="2"/>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u w:val="single"/>
                <w:lang w:val="en-US"/>
              </w:rPr>
            </w:pPr>
            <w:r>
              <w:rPr>
                <w:rFonts w:asciiTheme="majorHAnsi" w:hAnsiTheme="majorHAnsi" w:cs="Arial"/>
                <w:i/>
                <w:sz w:val="20"/>
                <w:szCs w:val="20"/>
                <w:u w:val="single"/>
                <w:lang w:val="en-US"/>
              </w:rPr>
              <w:t>SMN – ‘low’ &gt; ‘high’</w:t>
            </w:r>
          </w:p>
        </w:tc>
        <w:tc>
          <w:tcPr>
            <w:tcW w:w="108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152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proofErr w:type="spellStart"/>
            <w:r>
              <w:rPr>
                <w:rFonts w:asciiTheme="majorHAnsi" w:hAnsiTheme="majorHAnsi" w:cs="Arial"/>
                <w:sz w:val="20"/>
                <w:szCs w:val="20"/>
                <w:lang w:val="en-US"/>
              </w:rPr>
              <w:t>precuneus</w:t>
            </w:r>
            <w:proofErr w:type="spellEnd"/>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L</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30</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-6</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-40</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54</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0.007</w:t>
            </w:r>
          </w:p>
        </w:tc>
      </w:tr>
      <w:tr w:rsidR="00A63361" w:rsidTr="00A63361">
        <w:trPr>
          <w:trHeight w:val="475"/>
        </w:trPr>
        <w:tc>
          <w:tcPr>
            <w:tcW w:w="3528"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proofErr w:type="spellStart"/>
            <w:r>
              <w:rPr>
                <w:rFonts w:asciiTheme="majorHAnsi" w:hAnsiTheme="majorHAnsi" w:cs="Arial"/>
                <w:sz w:val="20"/>
                <w:szCs w:val="20"/>
                <w:lang w:val="en-US"/>
              </w:rPr>
              <w:t>postcentral</w:t>
            </w:r>
            <w:proofErr w:type="spellEnd"/>
            <w:r>
              <w:rPr>
                <w:rFonts w:asciiTheme="majorHAnsi" w:hAnsiTheme="majorHAnsi" w:cs="Arial"/>
                <w:sz w:val="20"/>
                <w:szCs w:val="20"/>
                <w:lang w:val="en-US"/>
              </w:rPr>
              <w:t xml:space="preserve"> </w:t>
            </w:r>
            <w:proofErr w:type="spellStart"/>
            <w:r>
              <w:rPr>
                <w:rFonts w:asciiTheme="majorHAnsi" w:hAnsiTheme="majorHAnsi" w:cs="Arial"/>
                <w:sz w:val="20"/>
                <w:szCs w:val="20"/>
                <w:lang w:val="en-US"/>
              </w:rPr>
              <w:t>gyrus</w:t>
            </w:r>
            <w:proofErr w:type="spellEnd"/>
          </w:p>
        </w:tc>
        <w:tc>
          <w:tcPr>
            <w:tcW w:w="929"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L</w:t>
            </w:r>
          </w:p>
        </w:tc>
        <w:tc>
          <w:tcPr>
            <w:tcW w:w="1083"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7*</w:t>
            </w:r>
          </w:p>
        </w:tc>
        <w:tc>
          <w:tcPr>
            <w:tcW w:w="679"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-30</w:t>
            </w:r>
          </w:p>
        </w:tc>
        <w:tc>
          <w:tcPr>
            <w:tcW w:w="679"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-36</w:t>
            </w:r>
          </w:p>
        </w:tc>
        <w:tc>
          <w:tcPr>
            <w:tcW w:w="679"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70</w:t>
            </w:r>
          </w:p>
        </w:tc>
        <w:tc>
          <w:tcPr>
            <w:tcW w:w="1523" w:type="dxa"/>
            <w:tcBorders>
              <w:top w:val="nil"/>
              <w:left w:val="nil"/>
              <w:bottom w:val="single" w:sz="18" w:space="0" w:color="auto"/>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0.029</w:t>
            </w:r>
          </w:p>
        </w:tc>
      </w:tr>
    </w:tbl>
    <w:p w:rsidR="00A63361" w:rsidRDefault="00A63361" w:rsidP="00A63361">
      <w:pPr>
        <w:widowControl w:val="0"/>
        <w:autoSpaceDE w:val="0"/>
        <w:autoSpaceDN w:val="0"/>
        <w:adjustRightInd w:val="0"/>
        <w:jc w:val="both"/>
        <w:rPr>
          <w:sz w:val="18"/>
          <w:szCs w:val="20"/>
          <w:lang w:val="en-US"/>
        </w:rPr>
      </w:pPr>
      <w:r>
        <w:rPr>
          <w:rFonts w:asciiTheme="majorHAnsi" w:hAnsiTheme="majorHAnsi" w:cs="Arial"/>
          <w:b/>
          <w:sz w:val="18"/>
          <w:szCs w:val="20"/>
          <w:lang w:val="en-US"/>
        </w:rPr>
        <w:t xml:space="preserve">Table S1: Brain regions observed significantly different between conditions (‘low’ and ‘high’ intensity) when including HR as covariate of no interest in our analyses. </w:t>
      </w:r>
      <w:r>
        <w:rPr>
          <w:rFonts w:asciiTheme="majorHAnsi" w:hAnsiTheme="majorHAnsi" w:cs="Arial"/>
          <w:sz w:val="18"/>
          <w:szCs w:val="20"/>
          <w:lang w:val="en-US"/>
        </w:rPr>
        <w:t>Coordinates presented are in MNI space; k = cluster size; N = 18; *small cluster size, needs to be treated with caution; **represents a very strong trend.</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r>
        <w:rPr>
          <w:rFonts w:asciiTheme="majorHAnsi" w:hAnsiTheme="majorHAnsi" w:cs="Arial"/>
          <w:sz w:val="20"/>
          <w:szCs w:val="20"/>
          <w:u w:val="single"/>
          <w:lang w:val="en-US"/>
        </w:rPr>
        <w:t>Executive Control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 xml:space="preserve">The ECN revealed no significant time x condition interaction in </w:t>
      </w:r>
      <w:proofErr w:type="spellStart"/>
      <w:r>
        <w:rPr>
          <w:rFonts w:asciiTheme="majorHAnsi" w:hAnsiTheme="majorHAnsi" w:cs="Arial"/>
          <w:sz w:val="20"/>
          <w:szCs w:val="20"/>
          <w:lang w:val="en-US"/>
        </w:rPr>
        <w:t>rs</w:t>
      </w:r>
      <w:proofErr w:type="spellEnd"/>
      <w:r>
        <w:rPr>
          <w:rFonts w:asciiTheme="majorHAnsi" w:hAnsiTheme="majorHAnsi" w:cs="Arial"/>
          <w:sz w:val="20"/>
          <w:szCs w:val="20"/>
          <w:lang w:val="en-US"/>
        </w:rPr>
        <w:t xml:space="preserve">-FC. However, there was a significant increase in FC from pre to post ‘low’ exercise condition in the middle frontal </w:t>
      </w:r>
      <w:proofErr w:type="spellStart"/>
      <w:r>
        <w:rPr>
          <w:rFonts w:asciiTheme="majorHAnsi" w:hAnsiTheme="majorHAnsi" w:cs="Arial"/>
          <w:sz w:val="20"/>
          <w:szCs w:val="20"/>
          <w:lang w:val="en-US"/>
        </w:rPr>
        <w:t>gyrus</w:t>
      </w:r>
      <w:proofErr w:type="spellEnd"/>
      <w:r>
        <w:rPr>
          <w:rFonts w:asciiTheme="majorHAnsi" w:hAnsiTheme="majorHAnsi" w:cs="Arial"/>
          <w:sz w:val="20"/>
          <w:szCs w:val="20"/>
          <w:lang w:val="en-US"/>
        </w:rPr>
        <w:t xml:space="preserve"> (</w:t>
      </w:r>
      <w:r>
        <w:rPr>
          <w:rFonts w:asciiTheme="majorHAnsi" w:hAnsiTheme="majorHAnsi" w:cs="Arial"/>
          <w:b/>
          <w:sz w:val="20"/>
          <w:szCs w:val="20"/>
          <w:lang w:val="en-US"/>
        </w:rPr>
        <w:t>Figure S2-A, Table S2</w:t>
      </w:r>
      <w:r>
        <w:rPr>
          <w:rFonts w:asciiTheme="majorHAnsi" w:hAnsiTheme="majorHAnsi" w:cs="Arial"/>
          <w:sz w:val="20"/>
          <w:szCs w:val="20"/>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r>
        <w:rPr>
          <w:rFonts w:asciiTheme="majorHAnsi" w:hAnsiTheme="majorHAnsi" w:cs="Arial"/>
          <w:sz w:val="20"/>
          <w:szCs w:val="20"/>
          <w:u w:val="single"/>
          <w:lang w:val="en-US"/>
        </w:rPr>
        <w:t>Dorsal Attention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 xml:space="preserve">The DAN revealed no significant time x condition interaction in </w:t>
      </w:r>
      <w:proofErr w:type="spellStart"/>
      <w:r>
        <w:rPr>
          <w:rFonts w:asciiTheme="majorHAnsi" w:hAnsiTheme="majorHAnsi" w:cs="Arial"/>
          <w:sz w:val="20"/>
          <w:szCs w:val="20"/>
          <w:lang w:val="en-US"/>
        </w:rPr>
        <w:t>rs</w:t>
      </w:r>
      <w:proofErr w:type="spellEnd"/>
      <w:r>
        <w:rPr>
          <w:rFonts w:asciiTheme="majorHAnsi" w:hAnsiTheme="majorHAnsi" w:cs="Arial"/>
          <w:sz w:val="20"/>
          <w:szCs w:val="20"/>
          <w:lang w:val="en-US"/>
        </w:rPr>
        <w:t xml:space="preserve">-FC, although we could detect a trend (p=0.07). However, there was a significant decrease in FC from pre to post ‘high’ exercise condition in the </w:t>
      </w:r>
      <w:proofErr w:type="spellStart"/>
      <w:r>
        <w:rPr>
          <w:rFonts w:asciiTheme="majorHAnsi" w:hAnsiTheme="majorHAnsi" w:cs="Arial"/>
          <w:sz w:val="20"/>
          <w:szCs w:val="20"/>
          <w:lang w:val="en-US"/>
        </w:rPr>
        <w:t>postcentral</w:t>
      </w:r>
      <w:proofErr w:type="spellEnd"/>
      <w:r>
        <w:rPr>
          <w:rFonts w:asciiTheme="majorHAnsi" w:hAnsiTheme="majorHAnsi" w:cs="Arial"/>
          <w:sz w:val="20"/>
          <w:szCs w:val="20"/>
          <w:lang w:val="en-US"/>
        </w:rPr>
        <w:t xml:space="preserve"> </w:t>
      </w:r>
      <w:proofErr w:type="spellStart"/>
      <w:r>
        <w:rPr>
          <w:rFonts w:asciiTheme="majorHAnsi" w:hAnsiTheme="majorHAnsi" w:cs="Arial"/>
          <w:sz w:val="20"/>
          <w:szCs w:val="20"/>
          <w:lang w:val="en-US"/>
        </w:rPr>
        <w:t>gyrus</w:t>
      </w:r>
      <w:proofErr w:type="spellEnd"/>
      <w:r>
        <w:rPr>
          <w:rFonts w:asciiTheme="majorHAnsi" w:hAnsiTheme="majorHAnsi" w:cs="Arial"/>
          <w:sz w:val="20"/>
          <w:szCs w:val="20"/>
          <w:lang w:val="en-US"/>
        </w:rPr>
        <w:t xml:space="preserve"> (</w:t>
      </w:r>
      <w:r>
        <w:rPr>
          <w:rFonts w:asciiTheme="majorHAnsi" w:hAnsiTheme="majorHAnsi" w:cs="Arial"/>
          <w:b/>
          <w:sz w:val="20"/>
          <w:szCs w:val="20"/>
          <w:lang w:val="en-US"/>
        </w:rPr>
        <w:t>Figure S2-B, Table S2</w:t>
      </w:r>
      <w:r>
        <w:rPr>
          <w:rFonts w:asciiTheme="majorHAnsi" w:hAnsiTheme="majorHAnsi" w:cs="Arial"/>
          <w:sz w:val="20"/>
          <w:szCs w:val="20"/>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r>
        <w:rPr>
          <w:rFonts w:asciiTheme="majorHAnsi" w:hAnsiTheme="majorHAnsi" w:cs="Arial"/>
          <w:sz w:val="20"/>
          <w:szCs w:val="20"/>
          <w:u w:val="single"/>
          <w:lang w:val="en-US"/>
        </w:rPr>
        <w:t>Left Affect and Reward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 xml:space="preserve">The LARN did not reveal a significant time x condition interaction in </w:t>
      </w:r>
      <w:proofErr w:type="spellStart"/>
      <w:r>
        <w:rPr>
          <w:rFonts w:asciiTheme="majorHAnsi" w:hAnsiTheme="majorHAnsi" w:cs="Arial"/>
          <w:sz w:val="20"/>
          <w:szCs w:val="20"/>
          <w:lang w:val="en-US"/>
        </w:rPr>
        <w:t>rs</w:t>
      </w:r>
      <w:proofErr w:type="spellEnd"/>
      <w:r>
        <w:rPr>
          <w:rFonts w:asciiTheme="majorHAnsi" w:hAnsiTheme="majorHAnsi" w:cs="Arial"/>
          <w:sz w:val="20"/>
          <w:szCs w:val="20"/>
          <w:lang w:val="en-US"/>
        </w:rPr>
        <w:t>-FC. However, there was a significant increase in FC from pre to post ‘high’ exercise condition in the left cerebellar lobule 6 (</w:t>
      </w:r>
      <w:r>
        <w:rPr>
          <w:rFonts w:asciiTheme="majorHAnsi" w:hAnsiTheme="majorHAnsi" w:cs="Arial"/>
          <w:b/>
          <w:sz w:val="20"/>
          <w:szCs w:val="20"/>
          <w:lang w:val="en-US"/>
        </w:rPr>
        <w:t>Figure S2-C, Table S2</w:t>
      </w:r>
      <w:r>
        <w:rPr>
          <w:rFonts w:asciiTheme="majorHAnsi" w:hAnsiTheme="majorHAnsi" w:cs="Arial"/>
          <w:sz w:val="20"/>
          <w:szCs w:val="20"/>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r>
        <w:rPr>
          <w:rFonts w:asciiTheme="majorHAnsi" w:hAnsiTheme="majorHAnsi" w:cs="Arial"/>
          <w:sz w:val="20"/>
          <w:szCs w:val="20"/>
          <w:u w:val="single"/>
          <w:lang w:val="en-US"/>
        </w:rPr>
        <w:lastRenderedPageBreak/>
        <w:t xml:space="preserve">Left </w:t>
      </w:r>
      <w:proofErr w:type="spellStart"/>
      <w:r>
        <w:rPr>
          <w:rFonts w:asciiTheme="majorHAnsi" w:hAnsiTheme="majorHAnsi" w:cs="Arial"/>
          <w:sz w:val="20"/>
          <w:szCs w:val="20"/>
          <w:u w:val="single"/>
          <w:lang w:val="en-US"/>
        </w:rPr>
        <w:t>Fronto</w:t>
      </w:r>
      <w:proofErr w:type="spellEnd"/>
      <w:r>
        <w:rPr>
          <w:rFonts w:asciiTheme="majorHAnsi" w:hAnsiTheme="majorHAnsi" w:cs="Arial"/>
          <w:sz w:val="20"/>
          <w:szCs w:val="20"/>
          <w:u w:val="single"/>
          <w:lang w:val="en-US"/>
        </w:rPr>
        <w:t xml:space="preserve"> Parietal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 xml:space="preserve">The LFPN did not reveal a significant time x condition interaction, but a significant increase in </w:t>
      </w:r>
      <w:proofErr w:type="spellStart"/>
      <w:r>
        <w:rPr>
          <w:rFonts w:asciiTheme="majorHAnsi" w:hAnsiTheme="majorHAnsi" w:cs="Arial"/>
          <w:sz w:val="20"/>
          <w:szCs w:val="20"/>
          <w:lang w:val="en-US"/>
        </w:rPr>
        <w:t>rs</w:t>
      </w:r>
      <w:proofErr w:type="spellEnd"/>
      <w:r>
        <w:rPr>
          <w:rFonts w:asciiTheme="majorHAnsi" w:hAnsiTheme="majorHAnsi" w:cs="Arial"/>
          <w:sz w:val="20"/>
          <w:szCs w:val="20"/>
          <w:lang w:val="en-US"/>
        </w:rPr>
        <w:t xml:space="preserve">-FC from pre to post ‘low’ exercise condition in the inferior frontal </w:t>
      </w:r>
      <w:proofErr w:type="spellStart"/>
      <w:r>
        <w:rPr>
          <w:rFonts w:asciiTheme="majorHAnsi" w:hAnsiTheme="majorHAnsi" w:cs="Arial"/>
          <w:sz w:val="20"/>
          <w:szCs w:val="20"/>
          <w:lang w:val="en-US"/>
        </w:rPr>
        <w:t>gyrus</w:t>
      </w:r>
      <w:proofErr w:type="spellEnd"/>
      <w:r>
        <w:rPr>
          <w:rFonts w:asciiTheme="majorHAnsi" w:hAnsiTheme="majorHAnsi" w:cs="Arial"/>
          <w:sz w:val="20"/>
          <w:szCs w:val="20"/>
          <w:lang w:val="en-US"/>
        </w:rPr>
        <w:t xml:space="preserve"> (IFG) (</w:t>
      </w:r>
      <w:r>
        <w:rPr>
          <w:rFonts w:asciiTheme="majorHAnsi" w:hAnsiTheme="majorHAnsi" w:cs="Arial"/>
          <w:b/>
          <w:sz w:val="20"/>
          <w:szCs w:val="20"/>
          <w:lang w:val="en-US"/>
        </w:rPr>
        <w:t>Figure S2-D, Table S2</w:t>
      </w:r>
      <w:r>
        <w:rPr>
          <w:rFonts w:asciiTheme="majorHAnsi" w:hAnsiTheme="majorHAnsi" w:cs="Arial"/>
          <w:sz w:val="20"/>
          <w:szCs w:val="20"/>
          <w:lang w:val="en-US"/>
        </w:rPr>
        <w:t>).</w:t>
      </w:r>
    </w:p>
    <w:p w:rsidR="00A63361" w:rsidRDefault="00A63361" w:rsidP="00A63361">
      <w:pPr>
        <w:spacing w:line="480" w:lineRule="auto"/>
        <w:rPr>
          <w:rFonts w:asciiTheme="majorHAnsi" w:hAnsiTheme="majorHAnsi" w:cs="Arial"/>
          <w:b/>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r>
        <w:rPr>
          <w:rFonts w:asciiTheme="majorHAnsi" w:hAnsiTheme="majorHAnsi" w:cs="Arial"/>
          <w:sz w:val="20"/>
          <w:szCs w:val="20"/>
          <w:u w:val="single"/>
          <w:lang w:val="en-US"/>
        </w:rPr>
        <w:t>Other networks</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We did not detect any further significant changes in FC in the other examined RSN. However, we could detect a statistical trend in the Salience network in form of an increase from pre to post ‘low’ exercise condition (p=0.09).</w:t>
      </w:r>
    </w:p>
    <w:p w:rsidR="00A63361" w:rsidRDefault="00A63361" w:rsidP="00A63361">
      <w:pPr>
        <w:rPr>
          <w:rFonts w:asciiTheme="majorHAnsi" w:hAnsiTheme="majorHAnsi" w:cs="Times New Roman"/>
          <w:b/>
          <w:color w:val="000000"/>
          <w:sz w:val="22"/>
          <w:szCs w:val="22"/>
          <w:lang w:val="en-US"/>
        </w:rPr>
      </w:pPr>
      <w:r>
        <w:rPr>
          <w:rFonts w:asciiTheme="majorHAnsi" w:hAnsiTheme="majorHAnsi" w:cs="Times New Roman"/>
          <w:b/>
          <w:color w:val="000000"/>
          <w:sz w:val="22"/>
          <w:szCs w:val="22"/>
          <w:lang w:val="en-US"/>
        </w:rPr>
        <w:br w:type="page"/>
      </w:r>
    </w:p>
    <w:p w:rsidR="00A63361" w:rsidRDefault="00A63361" w:rsidP="00A63361">
      <w:pPr>
        <w:rPr>
          <w:rFonts w:asciiTheme="majorHAnsi" w:hAnsiTheme="majorHAnsi" w:cs="Arial"/>
          <w:b/>
          <w:sz w:val="20"/>
          <w:szCs w:val="20"/>
          <w:lang w:val="en-US"/>
        </w:rPr>
      </w:pPr>
      <w:r>
        <w:rPr>
          <w:rFonts w:asciiTheme="majorHAnsi" w:hAnsiTheme="majorHAnsi" w:cs="Arial"/>
          <w:b/>
          <w:noProof/>
          <w:sz w:val="20"/>
          <w:szCs w:val="20"/>
          <w:lang w:val="en-US" w:eastAsia="en-US"/>
        </w:rPr>
        <w:lastRenderedPageBreak/>
        <w:drawing>
          <wp:inline distT="0" distB="0" distL="0" distR="0">
            <wp:extent cx="5752465" cy="6450965"/>
            <wp:effectExtent l="0" t="0" r="63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2465" cy="6450965"/>
                    </a:xfrm>
                    <a:prstGeom prst="rect">
                      <a:avLst/>
                    </a:prstGeom>
                    <a:noFill/>
                    <a:ln>
                      <a:noFill/>
                    </a:ln>
                  </pic:spPr>
                </pic:pic>
              </a:graphicData>
            </a:graphic>
          </wp:inline>
        </w:drawing>
      </w:r>
    </w:p>
    <w:p w:rsidR="00A63361" w:rsidRDefault="00A63361" w:rsidP="00A63361">
      <w:pPr>
        <w:jc w:val="both"/>
        <w:rPr>
          <w:rFonts w:asciiTheme="majorHAnsi" w:hAnsiTheme="majorHAnsi" w:cstheme="majorHAnsi"/>
          <w:sz w:val="18"/>
          <w:szCs w:val="20"/>
          <w:lang w:val="en-US"/>
        </w:rPr>
      </w:pPr>
      <w:r>
        <w:rPr>
          <w:rFonts w:asciiTheme="majorHAnsi" w:hAnsiTheme="majorHAnsi" w:cstheme="majorHAnsi"/>
          <w:b/>
          <w:sz w:val="18"/>
          <w:szCs w:val="20"/>
          <w:lang w:val="en-US"/>
        </w:rPr>
        <w:t xml:space="preserve">Figure S2: Differential effects in </w:t>
      </w:r>
      <w:proofErr w:type="spellStart"/>
      <w:r>
        <w:rPr>
          <w:rFonts w:asciiTheme="majorHAnsi" w:hAnsiTheme="majorHAnsi" w:cstheme="majorHAnsi"/>
          <w:b/>
          <w:sz w:val="18"/>
          <w:szCs w:val="20"/>
          <w:lang w:val="en-US"/>
        </w:rPr>
        <w:t>rs</w:t>
      </w:r>
      <w:proofErr w:type="spellEnd"/>
      <w:r>
        <w:rPr>
          <w:rFonts w:asciiTheme="majorHAnsi" w:hAnsiTheme="majorHAnsi" w:cstheme="majorHAnsi"/>
          <w:b/>
          <w:sz w:val="18"/>
          <w:szCs w:val="20"/>
          <w:lang w:val="en-US"/>
        </w:rPr>
        <w:t xml:space="preserve">-FC from pre to post </w:t>
      </w:r>
      <w:r>
        <w:rPr>
          <w:rFonts w:asciiTheme="majorHAnsi" w:hAnsiTheme="majorHAnsi" w:cstheme="majorHAnsi"/>
          <w:b/>
          <w:sz w:val="18"/>
          <w:szCs w:val="20"/>
          <w:highlight w:val="yellow"/>
          <w:lang w:val="en-US"/>
        </w:rPr>
        <w:t>within exercise condition</w:t>
      </w:r>
      <w:r>
        <w:rPr>
          <w:rFonts w:asciiTheme="majorHAnsi" w:hAnsiTheme="majorHAnsi" w:cstheme="majorHAnsi"/>
          <w:b/>
          <w:sz w:val="18"/>
          <w:szCs w:val="20"/>
          <w:lang w:val="en-US"/>
        </w:rPr>
        <w:t xml:space="preserve"> </w:t>
      </w:r>
      <w:r>
        <w:rPr>
          <w:rFonts w:asciiTheme="majorHAnsi" w:hAnsiTheme="majorHAnsi" w:cs="Arial"/>
          <w:b/>
          <w:sz w:val="18"/>
          <w:szCs w:val="20"/>
          <w:lang w:val="en-US"/>
        </w:rPr>
        <w:t>when including HR as covariate of no interest</w:t>
      </w:r>
      <w:r>
        <w:rPr>
          <w:rFonts w:asciiTheme="majorHAnsi" w:hAnsiTheme="majorHAnsi" w:cstheme="majorHAnsi"/>
          <w:b/>
          <w:sz w:val="18"/>
          <w:szCs w:val="20"/>
          <w:lang w:val="en-US"/>
        </w:rPr>
        <w:t xml:space="preserve">. </w:t>
      </w:r>
      <w:proofErr w:type="spellStart"/>
      <w:r>
        <w:rPr>
          <w:rFonts w:asciiTheme="majorHAnsi" w:hAnsiTheme="majorHAnsi" w:cstheme="majorHAnsi"/>
          <w:sz w:val="18"/>
          <w:szCs w:val="20"/>
          <w:lang w:val="en-US"/>
        </w:rPr>
        <w:t>Rs</w:t>
      </w:r>
      <w:proofErr w:type="spellEnd"/>
      <w:r>
        <w:rPr>
          <w:rFonts w:asciiTheme="majorHAnsi" w:hAnsiTheme="majorHAnsi" w:cstheme="majorHAnsi"/>
          <w:sz w:val="18"/>
          <w:szCs w:val="20"/>
          <w:lang w:val="en-US"/>
        </w:rPr>
        <w:t>-FC changes in the:</w:t>
      </w:r>
      <w:r>
        <w:rPr>
          <w:rFonts w:asciiTheme="majorHAnsi" w:hAnsiTheme="majorHAnsi" w:cstheme="majorHAnsi"/>
          <w:b/>
          <w:sz w:val="18"/>
          <w:szCs w:val="20"/>
          <w:lang w:val="en-US"/>
        </w:rPr>
        <w:t xml:space="preserve"> </w:t>
      </w:r>
      <w:r>
        <w:rPr>
          <w:rFonts w:asciiTheme="majorHAnsi" w:hAnsiTheme="majorHAnsi" w:cstheme="majorHAnsi"/>
          <w:sz w:val="18"/>
          <w:szCs w:val="20"/>
          <w:lang w:val="en-US"/>
        </w:rPr>
        <w:t xml:space="preserve">A) ECN within the ‘low’ condition (post&gt;pre) in the middle frontal </w:t>
      </w:r>
      <w:proofErr w:type="spellStart"/>
      <w:r>
        <w:rPr>
          <w:rFonts w:asciiTheme="majorHAnsi" w:hAnsiTheme="majorHAnsi" w:cstheme="majorHAnsi"/>
          <w:sz w:val="18"/>
          <w:szCs w:val="20"/>
          <w:lang w:val="en-US"/>
        </w:rPr>
        <w:t>gyrus</w:t>
      </w:r>
      <w:proofErr w:type="spellEnd"/>
      <w:r>
        <w:rPr>
          <w:rFonts w:asciiTheme="majorHAnsi" w:hAnsiTheme="majorHAnsi" w:cstheme="majorHAnsi"/>
          <w:sz w:val="18"/>
          <w:szCs w:val="20"/>
          <w:lang w:val="en-US"/>
        </w:rPr>
        <w:t xml:space="preserve"> (MFG), B) DAN within the ‘high’ condition (pre&gt;post) in the </w:t>
      </w:r>
      <w:proofErr w:type="spellStart"/>
      <w:r>
        <w:rPr>
          <w:rFonts w:asciiTheme="majorHAnsi" w:hAnsiTheme="majorHAnsi" w:cstheme="majorHAnsi"/>
          <w:sz w:val="18"/>
          <w:szCs w:val="20"/>
          <w:lang w:val="en-US"/>
        </w:rPr>
        <w:t>postcentral</w:t>
      </w:r>
      <w:proofErr w:type="spellEnd"/>
      <w:r>
        <w:rPr>
          <w:rFonts w:asciiTheme="majorHAnsi" w:hAnsiTheme="majorHAnsi" w:cstheme="majorHAnsi"/>
          <w:sz w:val="18"/>
          <w:szCs w:val="20"/>
          <w:lang w:val="en-US"/>
        </w:rPr>
        <w:t xml:space="preserve"> </w:t>
      </w:r>
      <w:proofErr w:type="spellStart"/>
      <w:r>
        <w:rPr>
          <w:rFonts w:asciiTheme="majorHAnsi" w:hAnsiTheme="majorHAnsi" w:cstheme="majorHAnsi"/>
          <w:sz w:val="18"/>
          <w:szCs w:val="20"/>
          <w:lang w:val="en-US"/>
        </w:rPr>
        <w:t>gyrus</w:t>
      </w:r>
      <w:proofErr w:type="spellEnd"/>
      <w:r>
        <w:rPr>
          <w:rFonts w:asciiTheme="majorHAnsi" w:hAnsiTheme="majorHAnsi" w:cstheme="majorHAnsi"/>
          <w:sz w:val="18"/>
          <w:szCs w:val="20"/>
          <w:lang w:val="en-US"/>
        </w:rPr>
        <w:t xml:space="preserve">, C) LARN within the ‘high’ condition (post&gt;pre) in the cerebellar lobule 6, D) LFPN within the ‘low’ condition (post&gt;pre) in the inferior frontal </w:t>
      </w:r>
      <w:proofErr w:type="spellStart"/>
      <w:r>
        <w:rPr>
          <w:rFonts w:asciiTheme="majorHAnsi" w:hAnsiTheme="majorHAnsi" w:cstheme="majorHAnsi"/>
          <w:sz w:val="18"/>
          <w:szCs w:val="20"/>
          <w:lang w:val="en-US"/>
        </w:rPr>
        <w:t>gyrus</w:t>
      </w:r>
      <w:proofErr w:type="spellEnd"/>
      <w:r>
        <w:rPr>
          <w:rFonts w:asciiTheme="majorHAnsi" w:hAnsiTheme="majorHAnsi" w:cstheme="majorHAnsi"/>
          <w:sz w:val="18"/>
          <w:szCs w:val="20"/>
          <w:lang w:val="en-US"/>
        </w:rPr>
        <w:t xml:space="preserve"> (IFG), E) RFPN within the ‘low’ condition (post&gt;pre) in the MFG and cerebellar crus 2, F) SMN within the ‘high’ condition (pre&gt;post) in the middle cingulate cortex (MCC) and </w:t>
      </w:r>
      <w:proofErr w:type="spellStart"/>
      <w:r>
        <w:rPr>
          <w:rFonts w:asciiTheme="majorHAnsi" w:hAnsiTheme="majorHAnsi" w:cstheme="majorHAnsi"/>
          <w:sz w:val="18"/>
          <w:szCs w:val="20"/>
          <w:lang w:val="en-US"/>
        </w:rPr>
        <w:t>postcentral</w:t>
      </w:r>
      <w:proofErr w:type="spellEnd"/>
      <w:r>
        <w:rPr>
          <w:rFonts w:asciiTheme="majorHAnsi" w:hAnsiTheme="majorHAnsi" w:cstheme="majorHAnsi"/>
          <w:sz w:val="18"/>
          <w:szCs w:val="20"/>
          <w:lang w:val="en-US"/>
        </w:rPr>
        <w:t xml:space="preserve"> </w:t>
      </w:r>
      <w:proofErr w:type="spellStart"/>
      <w:r>
        <w:rPr>
          <w:rFonts w:asciiTheme="majorHAnsi" w:hAnsiTheme="majorHAnsi" w:cstheme="majorHAnsi"/>
          <w:sz w:val="18"/>
          <w:szCs w:val="20"/>
          <w:lang w:val="en-US"/>
        </w:rPr>
        <w:t>gyrus</w:t>
      </w:r>
      <w:proofErr w:type="spellEnd"/>
      <w:r>
        <w:rPr>
          <w:rFonts w:asciiTheme="majorHAnsi" w:hAnsiTheme="majorHAnsi" w:cstheme="majorHAnsi"/>
          <w:sz w:val="18"/>
          <w:szCs w:val="20"/>
          <w:lang w:val="en-US"/>
        </w:rPr>
        <w:t>; data shown is corrected for p&lt;0.05, after multiple comparison correction using TFCE approach</w:t>
      </w:r>
      <w:r>
        <w:rPr>
          <w:rFonts w:asciiTheme="majorHAnsi" w:hAnsiTheme="majorHAnsi" w:cstheme="majorHAnsi"/>
          <w:sz w:val="18"/>
          <w:szCs w:val="20"/>
          <w:highlight w:val="yellow"/>
          <w:lang w:val="en-US"/>
        </w:rPr>
        <w:t>; z-values were normalized by dividing them by SD; For enhancing the contrast between the activation clusters and the RSN masks, we chose either blue or red for the activation clusters. The colors do not indicate increases or decreases.</w:t>
      </w:r>
      <w:r>
        <w:rPr>
          <w:rFonts w:asciiTheme="majorHAnsi" w:hAnsiTheme="majorHAnsi" w:cstheme="majorHAnsi"/>
          <w:sz w:val="18"/>
          <w:szCs w:val="20"/>
          <w:lang w:val="en-US"/>
        </w:rPr>
        <w:t xml:space="preserve">  N=20; </w:t>
      </w:r>
      <w:r>
        <w:rPr>
          <w:rFonts w:asciiTheme="majorHAnsi" w:hAnsiTheme="majorHAnsi" w:cs="Arial"/>
          <w:sz w:val="18"/>
          <w:szCs w:val="20"/>
          <w:lang w:val="en-US"/>
        </w:rPr>
        <w:t>R = right; L = left</w:t>
      </w:r>
      <w:r>
        <w:rPr>
          <w:rFonts w:asciiTheme="majorHAnsi" w:hAnsiTheme="majorHAnsi" w:cstheme="majorHAnsi"/>
          <w:sz w:val="18"/>
          <w:szCs w:val="20"/>
          <w:lang w:val="en-US"/>
        </w:rPr>
        <w:t>.</w:t>
      </w:r>
    </w:p>
    <w:p w:rsidR="00A63361" w:rsidRDefault="00A63361" w:rsidP="00A63361">
      <w:pPr>
        <w:rPr>
          <w:rFonts w:asciiTheme="majorHAnsi" w:hAnsiTheme="majorHAnsi" w:cstheme="majorHAnsi"/>
          <w:sz w:val="20"/>
          <w:szCs w:val="20"/>
          <w:lang w:val="en-US"/>
        </w:rPr>
      </w:pPr>
      <w:r>
        <w:rPr>
          <w:rFonts w:asciiTheme="majorHAnsi" w:hAnsiTheme="majorHAnsi" w:cstheme="majorHAnsi"/>
          <w:sz w:val="20"/>
          <w:szCs w:val="20"/>
          <w:lang w:val="en-US"/>
        </w:rPr>
        <w:br w:type="page"/>
      </w:r>
    </w:p>
    <w:tbl>
      <w:tblPr>
        <w:tblStyle w:val="TableGrid"/>
        <w:tblW w:w="8895" w:type="dxa"/>
        <w:tblInd w:w="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3"/>
        <w:gridCol w:w="992"/>
        <w:gridCol w:w="851"/>
        <w:gridCol w:w="709"/>
        <w:gridCol w:w="850"/>
        <w:gridCol w:w="851"/>
        <w:gridCol w:w="1559"/>
      </w:tblGrid>
      <w:tr w:rsidR="00A63361" w:rsidTr="00A63361">
        <w:trPr>
          <w:trHeight w:hRule="exact" w:val="332"/>
        </w:trPr>
        <w:tc>
          <w:tcPr>
            <w:tcW w:w="3085"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lang w:val="en-US"/>
              </w:rPr>
            </w:pPr>
            <w:r>
              <w:rPr>
                <w:rFonts w:asciiTheme="majorHAnsi" w:hAnsiTheme="majorHAnsi" w:cs="Arial"/>
                <w:b/>
                <w:sz w:val="20"/>
                <w:szCs w:val="20"/>
                <w:lang w:val="en-US"/>
              </w:rPr>
              <w:lastRenderedPageBreak/>
              <w:t>brain region</w:t>
            </w:r>
          </w:p>
        </w:tc>
        <w:tc>
          <w:tcPr>
            <w:tcW w:w="992"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lang w:val="en-US"/>
              </w:rPr>
            </w:pPr>
            <w:r>
              <w:rPr>
                <w:rFonts w:asciiTheme="majorHAnsi" w:hAnsiTheme="majorHAnsi" w:cs="Arial"/>
                <w:b/>
                <w:sz w:val="20"/>
                <w:szCs w:val="20"/>
                <w:lang w:val="en-US"/>
              </w:rPr>
              <w:t>side</w:t>
            </w:r>
          </w:p>
        </w:tc>
        <w:tc>
          <w:tcPr>
            <w:tcW w:w="851"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k</w:t>
            </w:r>
          </w:p>
        </w:tc>
        <w:tc>
          <w:tcPr>
            <w:tcW w:w="70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x</w:t>
            </w:r>
          </w:p>
        </w:tc>
        <w:tc>
          <w:tcPr>
            <w:tcW w:w="850"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y</w:t>
            </w:r>
          </w:p>
        </w:tc>
        <w:tc>
          <w:tcPr>
            <w:tcW w:w="851"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z</w:t>
            </w:r>
          </w:p>
        </w:tc>
        <w:tc>
          <w:tcPr>
            <w:tcW w:w="155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p-value (</w:t>
            </w:r>
            <w:proofErr w:type="spellStart"/>
            <w:r>
              <w:rPr>
                <w:rFonts w:asciiTheme="majorHAnsi" w:hAnsiTheme="majorHAnsi" w:cs="Arial"/>
                <w:b/>
                <w:sz w:val="20"/>
                <w:szCs w:val="20"/>
                <w:lang w:val="en-US"/>
              </w:rPr>
              <w:t>tfce</w:t>
            </w:r>
            <w:proofErr w:type="spellEnd"/>
            <w:r>
              <w:rPr>
                <w:rFonts w:asciiTheme="majorHAnsi" w:hAnsiTheme="majorHAnsi" w:cs="Arial"/>
                <w:b/>
                <w:sz w:val="20"/>
                <w:szCs w:val="20"/>
                <w:lang w:val="en-US"/>
              </w:rPr>
              <w:t>)</w:t>
            </w:r>
          </w:p>
        </w:tc>
      </w:tr>
      <w:tr w:rsidR="00A63361" w:rsidTr="00A63361">
        <w:tc>
          <w:tcPr>
            <w:tcW w:w="4077" w:type="dxa"/>
            <w:gridSpan w:val="2"/>
            <w:tcBorders>
              <w:top w:val="single" w:sz="18" w:space="0" w:color="auto"/>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u w:val="single"/>
                <w:lang w:val="en-US"/>
              </w:rPr>
            </w:pPr>
            <w:r>
              <w:rPr>
                <w:rFonts w:asciiTheme="majorHAnsi" w:hAnsiTheme="majorHAnsi" w:cs="Arial"/>
                <w:i/>
                <w:sz w:val="20"/>
                <w:szCs w:val="20"/>
                <w:u w:val="single"/>
                <w:lang w:val="en-US"/>
              </w:rPr>
              <w:t>ECN – ‘low’ post&gt;pre</w:t>
            </w:r>
          </w:p>
        </w:tc>
        <w:tc>
          <w:tcPr>
            <w:tcW w:w="851"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709"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850"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851"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1559"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 xml:space="preserve">middle frontal </w:t>
            </w:r>
            <w:proofErr w:type="spellStart"/>
            <w:r>
              <w:rPr>
                <w:rFonts w:asciiTheme="majorHAnsi" w:hAnsiTheme="majorHAnsi" w:cs="Arial"/>
                <w:sz w:val="20"/>
                <w:szCs w:val="20"/>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R</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4*</w:t>
            </w:r>
          </w:p>
        </w:tc>
        <w:tc>
          <w:tcPr>
            <w:tcW w:w="70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30</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16</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60</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0.036</w:t>
            </w:r>
          </w:p>
        </w:tc>
      </w:tr>
      <w:tr w:rsidR="00A63361" w:rsidTr="00A63361">
        <w:tc>
          <w:tcPr>
            <w:tcW w:w="4077" w:type="dxa"/>
            <w:gridSpan w:val="2"/>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u w:val="single"/>
                <w:lang w:val="en-US"/>
              </w:rPr>
            </w:pPr>
            <w:r>
              <w:rPr>
                <w:rFonts w:asciiTheme="majorHAnsi" w:hAnsiTheme="majorHAnsi" w:cs="Arial"/>
                <w:i/>
                <w:sz w:val="20"/>
                <w:szCs w:val="20"/>
                <w:u w:val="single"/>
                <w:lang w:val="en-US"/>
              </w:rPr>
              <w:t>DAN – ‘high’ pre&gt;post</w:t>
            </w: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70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155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proofErr w:type="spellStart"/>
            <w:r>
              <w:rPr>
                <w:rFonts w:asciiTheme="majorHAnsi" w:hAnsiTheme="majorHAnsi" w:cs="Arial"/>
                <w:sz w:val="20"/>
                <w:szCs w:val="20"/>
                <w:lang w:val="en-US"/>
              </w:rPr>
              <w:t>postcentral</w:t>
            </w:r>
            <w:proofErr w:type="spellEnd"/>
            <w:r>
              <w:rPr>
                <w:rFonts w:asciiTheme="majorHAnsi" w:hAnsiTheme="majorHAnsi" w:cs="Arial"/>
                <w:sz w:val="20"/>
                <w:szCs w:val="20"/>
                <w:lang w:val="en-US"/>
              </w:rPr>
              <w:t xml:space="preserve"> </w:t>
            </w:r>
            <w:proofErr w:type="spellStart"/>
            <w:r>
              <w:rPr>
                <w:rFonts w:asciiTheme="majorHAnsi" w:hAnsiTheme="majorHAnsi" w:cs="Arial"/>
                <w:sz w:val="20"/>
                <w:szCs w:val="20"/>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R</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8*</w:t>
            </w:r>
          </w:p>
        </w:tc>
        <w:tc>
          <w:tcPr>
            <w:tcW w:w="70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48</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-22</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44</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0.048</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sz w:val="20"/>
                <w:szCs w:val="20"/>
                <w:lang w:val="en-US"/>
              </w:rPr>
            </w:pPr>
            <w:r>
              <w:rPr>
                <w:rFonts w:asciiTheme="majorHAnsi" w:hAnsiTheme="majorHAnsi" w:cs="Arial"/>
                <w:i/>
                <w:sz w:val="20"/>
                <w:szCs w:val="20"/>
                <w:u w:val="single"/>
                <w:lang w:val="en-US"/>
              </w:rPr>
              <w:t>LARN – ‘high’ post&gt;pre</w:t>
            </w:r>
          </w:p>
        </w:tc>
        <w:tc>
          <w:tcPr>
            <w:tcW w:w="992"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c>
          <w:tcPr>
            <w:tcW w:w="70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c>
          <w:tcPr>
            <w:tcW w:w="1559" w:type="dxa"/>
            <w:tcBorders>
              <w:top w:val="nil"/>
              <w:left w:val="nil"/>
              <w:bottom w:val="nil"/>
              <w:right w:val="nil"/>
            </w:tcBorders>
            <w:vAlign w:val="bottom"/>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cerebellar lobule 6</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L</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8*</w:t>
            </w:r>
          </w:p>
        </w:tc>
        <w:tc>
          <w:tcPr>
            <w:tcW w:w="70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-14</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-70</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-18</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0.012</w:t>
            </w:r>
          </w:p>
        </w:tc>
      </w:tr>
      <w:tr w:rsidR="00A63361" w:rsidTr="00A63361">
        <w:tc>
          <w:tcPr>
            <w:tcW w:w="4077" w:type="dxa"/>
            <w:gridSpan w:val="2"/>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u w:val="single"/>
                <w:lang w:val="en-US"/>
              </w:rPr>
            </w:pPr>
            <w:r>
              <w:rPr>
                <w:rFonts w:asciiTheme="majorHAnsi" w:hAnsiTheme="majorHAnsi" w:cs="Arial"/>
                <w:i/>
                <w:sz w:val="20"/>
                <w:szCs w:val="20"/>
                <w:u w:val="single"/>
                <w:lang w:val="en-US"/>
              </w:rPr>
              <w:t>LFPN – ‘low’ post&gt;pre</w:t>
            </w: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70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155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 xml:space="preserve">inferior frontal </w:t>
            </w:r>
            <w:proofErr w:type="spellStart"/>
            <w:r>
              <w:rPr>
                <w:rFonts w:asciiTheme="majorHAnsi" w:hAnsiTheme="majorHAnsi" w:cs="Arial"/>
                <w:sz w:val="20"/>
                <w:szCs w:val="20"/>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L</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12</w:t>
            </w:r>
          </w:p>
        </w:tc>
        <w:tc>
          <w:tcPr>
            <w:tcW w:w="70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-46</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8</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34</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0.025</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sz w:val="20"/>
                <w:szCs w:val="20"/>
                <w:lang w:val="en-US"/>
              </w:rPr>
            </w:pPr>
            <w:r>
              <w:rPr>
                <w:rFonts w:asciiTheme="majorHAnsi" w:hAnsiTheme="majorHAnsi" w:cs="Arial"/>
                <w:i/>
                <w:sz w:val="20"/>
                <w:szCs w:val="20"/>
                <w:u w:val="single"/>
                <w:lang w:val="en-US"/>
              </w:rPr>
              <w:t>RFPN – ‘low’ post&gt;pre</w:t>
            </w:r>
          </w:p>
        </w:tc>
        <w:tc>
          <w:tcPr>
            <w:tcW w:w="992"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c>
          <w:tcPr>
            <w:tcW w:w="70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c>
          <w:tcPr>
            <w:tcW w:w="1559" w:type="dxa"/>
            <w:tcBorders>
              <w:top w:val="nil"/>
              <w:left w:val="nil"/>
              <w:bottom w:val="nil"/>
              <w:right w:val="nil"/>
            </w:tcBorders>
            <w:vAlign w:val="bottom"/>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 xml:space="preserve">middle frontal </w:t>
            </w:r>
            <w:proofErr w:type="spellStart"/>
            <w:r>
              <w:rPr>
                <w:rFonts w:asciiTheme="majorHAnsi" w:hAnsiTheme="majorHAnsi" w:cs="Arial"/>
                <w:sz w:val="20"/>
                <w:szCs w:val="20"/>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R</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681</w:t>
            </w:r>
          </w:p>
        </w:tc>
        <w:tc>
          <w:tcPr>
            <w:tcW w:w="70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50</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24</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36</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0.008</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cerebellar crus 2</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L</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8*</w:t>
            </w:r>
          </w:p>
        </w:tc>
        <w:tc>
          <w:tcPr>
            <w:tcW w:w="70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-82</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-28</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0.039</w:t>
            </w:r>
          </w:p>
        </w:tc>
      </w:tr>
      <w:tr w:rsidR="00A63361" w:rsidTr="00A63361">
        <w:tc>
          <w:tcPr>
            <w:tcW w:w="4077" w:type="dxa"/>
            <w:gridSpan w:val="2"/>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u w:val="single"/>
                <w:lang w:val="en-US"/>
              </w:rPr>
            </w:pPr>
            <w:r>
              <w:rPr>
                <w:rFonts w:asciiTheme="majorHAnsi" w:hAnsiTheme="majorHAnsi" w:cs="Arial"/>
                <w:i/>
                <w:sz w:val="20"/>
                <w:szCs w:val="20"/>
                <w:u w:val="single"/>
                <w:lang w:val="en-US"/>
              </w:rPr>
              <w:t>SMN – ‘high’ pre&gt;post</w:t>
            </w: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70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155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middle cingulate cortex</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R</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109</w:t>
            </w:r>
          </w:p>
        </w:tc>
        <w:tc>
          <w:tcPr>
            <w:tcW w:w="70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8</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-12</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46</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0.006</w:t>
            </w:r>
          </w:p>
        </w:tc>
      </w:tr>
      <w:tr w:rsidR="00A63361" w:rsidTr="00A63361">
        <w:tc>
          <w:tcPr>
            <w:tcW w:w="3085"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proofErr w:type="spellStart"/>
            <w:r>
              <w:rPr>
                <w:rFonts w:asciiTheme="majorHAnsi" w:hAnsiTheme="majorHAnsi" w:cs="Arial"/>
                <w:sz w:val="20"/>
                <w:szCs w:val="20"/>
                <w:lang w:val="en-US"/>
              </w:rPr>
              <w:t>postcentral</w:t>
            </w:r>
            <w:proofErr w:type="spellEnd"/>
            <w:r>
              <w:rPr>
                <w:rFonts w:asciiTheme="majorHAnsi" w:hAnsiTheme="majorHAnsi" w:cs="Arial"/>
                <w:sz w:val="20"/>
                <w:szCs w:val="20"/>
                <w:lang w:val="en-US"/>
              </w:rPr>
              <w:t xml:space="preserve"> </w:t>
            </w:r>
            <w:proofErr w:type="spellStart"/>
            <w:r>
              <w:rPr>
                <w:rFonts w:asciiTheme="majorHAnsi" w:hAnsiTheme="majorHAnsi" w:cs="Arial"/>
                <w:sz w:val="20"/>
                <w:szCs w:val="20"/>
                <w:lang w:val="en-US"/>
              </w:rPr>
              <w:t>gyrus</w:t>
            </w:r>
            <w:proofErr w:type="spellEnd"/>
          </w:p>
        </w:tc>
        <w:tc>
          <w:tcPr>
            <w:tcW w:w="992"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lang w:val="en-US"/>
              </w:rPr>
            </w:pPr>
            <w:r>
              <w:rPr>
                <w:rFonts w:asciiTheme="majorHAnsi" w:hAnsiTheme="majorHAnsi" w:cs="Arial"/>
                <w:sz w:val="20"/>
                <w:szCs w:val="20"/>
                <w:lang w:val="en-US"/>
              </w:rPr>
              <w:t>R</w:t>
            </w:r>
          </w:p>
        </w:tc>
        <w:tc>
          <w:tcPr>
            <w:tcW w:w="851"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76</w:t>
            </w:r>
          </w:p>
        </w:tc>
        <w:tc>
          <w:tcPr>
            <w:tcW w:w="709"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16</w:t>
            </w:r>
          </w:p>
        </w:tc>
        <w:tc>
          <w:tcPr>
            <w:tcW w:w="850"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-42</w:t>
            </w:r>
          </w:p>
        </w:tc>
        <w:tc>
          <w:tcPr>
            <w:tcW w:w="851"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74</w:t>
            </w:r>
          </w:p>
        </w:tc>
        <w:tc>
          <w:tcPr>
            <w:tcW w:w="1559" w:type="dxa"/>
            <w:tcBorders>
              <w:top w:val="nil"/>
              <w:left w:val="nil"/>
              <w:bottom w:val="single" w:sz="18" w:space="0" w:color="auto"/>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lang w:val="en-US"/>
              </w:rPr>
              <w:t>0.020</w:t>
            </w:r>
          </w:p>
        </w:tc>
      </w:tr>
    </w:tbl>
    <w:p w:rsidR="00A63361" w:rsidRDefault="00A63361" w:rsidP="00A63361">
      <w:pPr>
        <w:widowControl w:val="0"/>
        <w:autoSpaceDE w:val="0"/>
        <w:autoSpaceDN w:val="0"/>
        <w:adjustRightInd w:val="0"/>
        <w:jc w:val="both"/>
        <w:rPr>
          <w:sz w:val="18"/>
          <w:szCs w:val="20"/>
          <w:lang w:val="en-US"/>
        </w:rPr>
      </w:pPr>
      <w:r>
        <w:rPr>
          <w:rFonts w:asciiTheme="majorHAnsi" w:hAnsiTheme="majorHAnsi" w:cs="Arial"/>
          <w:b/>
          <w:sz w:val="18"/>
          <w:szCs w:val="20"/>
          <w:lang w:val="en-US"/>
        </w:rPr>
        <w:t xml:space="preserve">Table S2: Brain regions observed significantly different between pre and post within each exercise condition when including HR as covariate of no interest in our analyses. </w:t>
      </w:r>
      <w:r>
        <w:rPr>
          <w:rFonts w:asciiTheme="majorHAnsi" w:hAnsiTheme="majorHAnsi" w:cs="Arial"/>
          <w:sz w:val="18"/>
          <w:szCs w:val="20"/>
          <w:lang w:val="en-US"/>
        </w:rPr>
        <w:t>Coordinates presented are in MNI space; k = cluster size; N = 20; *small cluster size, needs to be treated with caution.</w:t>
      </w:r>
    </w:p>
    <w:p w:rsidR="00A63361" w:rsidRDefault="00A63361" w:rsidP="00A63361">
      <w:pPr>
        <w:rPr>
          <w:rFonts w:asciiTheme="majorHAnsi" w:hAnsiTheme="majorHAnsi"/>
          <w:sz w:val="20"/>
          <w:szCs w:val="20"/>
          <w:lang w:val="en-US"/>
        </w:rPr>
      </w:pPr>
      <w:r>
        <w:rPr>
          <w:rFonts w:asciiTheme="majorHAnsi" w:hAnsiTheme="majorHAnsi"/>
          <w:sz w:val="20"/>
          <w:szCs w:val="20"/>
          <w:lang w:val="en-US"/>
        </w:rPr>
        <w:br w:type="page"/>
      </w:r>
    </w:p>
    <w:p w:rsidR="00A63361" w:rsidRDefault="00A63361" w:rsidP="00A63361">
      <w:pPr>
        <w:spacing w:line="480" w:lineRule="auto"/>
        <w:jc w:val="both"/>
        <w:rPr>
          <w:rFonts w:asciiTheme="majorHAnsi" w:hAnsiTheme="majorHAnsi"/>
          <w:b/>
          <w:sz w:val="20"/>
          <w:szCs w:val="20"/>
          <w:lang w:val="en-US"/>
        </w:rPr>
      </w:pPr>
      <w:r>
        <w:rPr>
          <w:rFonts w:asciiTheme="majorHAnsi" w:hAnsiTheme="majorHAnsi"/>
          <w:b/>
          <w:sz w:val="20"/>
          <w:szCs w:val="20"/>
          <w:highlight w:val="yellow"/>
          <w:lang w:val="en-US"/>
        </w:rPr>
        <w:lastRenderedPageBreak/>
        <w:t>Additional analysis including nuisance regression</w:t>
      </w:r>
      <w:r>
        <w:rPr>
          <w:rFonts w:asciiTheme="majorHAnsi" w:hAnsiTheme="majorHAnsi"/>
          <w:b/>
          <w:sz w:val="20"/>
          <w:szCs w:val="20"/>
          <w:lang w:val="en-US"/>
        </w:rPr>
        <w:t xml:space="preserve"> (</w:t>
      </w:r>
      <w:r>
        <w:rPr>
          <w:rFonts w:asciiTheme="majorHAnsi" w:hAnsiTheme="majorHAnsi"/>
          <w:b/>
          <w:sz w:val="20"/>
          <w:szCs w:val="20"/>
          <w:highlight w:val="yellow"/>
          <w:lang w:val="en-US"/>
        </w:rPr>
        <w:t>WM and CSF</w:t>
      </w:r>
      <w:r>
        <w:rPr>
          <w:rFonts w:asciiTheme="majorHAnsi" w:hAnsiTheme="majorHAnsi"/>
          <w:b/>
          <w:sz w:val="20"/>
          <w:szCs w:val="20"/>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As regressing out WM and CSF is</w:t>
      </w:r>
      <w:r>
        <w:rPr>
          <w:rFonts w:asciiTheme="majorHAnsi" w:hAnsiTheme="majorHAnsi" w:cs="‡]€·˛"/>
          <w:sz w:val="22"/>
          <w:szCs w:val="22"/>
          <w:highlight w:val="yellow"/>
          <w:lang w:val="en-US"/>
        </w:rPr>
        <w:t xml:space="preserve"> routinely performed in standard preprocessing pipelines, we additionally show the data with nuisance regression (WM and CSF) (N=22). Although, we </w:t>
      </w:r>
      <w:proofErr w:type="spellStart"/>
      <w:r>
        <w:rPr>
          <w:rFonts w:asciiTheme="majorHAnsi" w:hAnsiTheme="majorHAnsi" w:cs="‡]€·˛"/>
          <w:sz w:val="22"/>
          <w:szCs w:val="22"/>
          <w:highlight w:val="yellow"/>
          <w:lang w:val="en-US"/>
        </w:rPr>
        <w:t>loose</w:t>
      </w:r>
      <w:proofErr w:type="spellEnd"/>
      <w:r>
        <w:rPr>
          <w:rFonts w:asciiTheme="majorHAnsi" w:hAnsiTheme="majorHAnsi" w:cs="‡]€·˛"/>
          <w:sz w:val="22"/>
          <w:szCs w:val="22"/>
          <w:highlight w:val="yellow"/>
          <w:lang w:val="en-US"/>
        </w:rPr>
        <w:t xml:space="preserve"> significances in some of our results (DAN and ECN), which might be due to the loss of degrees of freedom by inserting WM and CSF in the design, the results of this analysis further support our results. </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u w:val="single"/>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u w:val="single"/>
          <w:lang w:val="en-US"/>
        </w:rPr>
      </w:pPr>
      <w:r>
        <w:rPr>
          <w:rFonts w:asciiTheme="majorHAnsi" w:hAnsiTheme="majorHAnsi" w:cs="Arial"/>
          <w:sz w:val="20"/>
          <w:szCs w:val="20"/>
          <w:highlight w:val="yellow"/>
          <w:u w:val="single"/>
          <w:lang w:val="en-US"/>
        </w:rPr>
        <w:t>Right Affect and Reward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 xml:space="preserve">In the RARN we found a significant time x condition interaction in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-FC in the right insula (</w:t>
      </w:r>
      <w:r>
        <w:rPr>
          <w:rFonts w:asciiTheme="majorHAnsi" w:hAnsiTheme="majorHAnsi" w:cs="Arial"/>
          <w:b/>
          <w:sz w:val="20"/>
          <w:szCs w:val="20"/>
          <w:highlight w:val="yellow"/>
          <w:lang w:val="en-US"/>
        </w:rPr>
        <w:t>Figure S3-A, Table S3</w:t>
      </w:r>
      <w:r>
        <w:rPr>
          <w:rFonts w:asciiTheme="majorHAnsi" w:hAnsiTheme="majorHAnsi" w:cs="Arial"/>
          <w:sz w:val="20"/>
          <w:szCs w:val="20"/>
          <w:highlight w:val="yellow"/>
          <w:lang w:val="en-US"/>
        </w:rPr>
        <w:t>). This effect seems to be driven by an increase in FC after the ‘high’-intensity exercise condition in the orbitofrontal cortex (OFC), which was only a trend (p=0.084) (</w:t>
      </w:r>
      <w:r>
        <w:rPr>
          <w:rFonts w:asciiTheme="majorHAnsi" w:hAnsiTheme="majorHAnsi" w:cs="Arial"/>
          <w:b/>
          <w:sz w:val="20"/>
          <w:szCs w:val="20"/>
          <w:highlight w:val="yellow"/>
          <w:lang w:val="en-US"/>
        </w:rPr>
        <w:t>Figure S4-D, Table S4</w:t>
      </w:r>
      <w:r>
        <w:rPr>
          <w:rFonts w:asciiTheme="majorHAnsi" w:hAnsiTheme="majorHAnsi" w:cs="Arial"/>
          <w:sz w:val="20"/>
          <w:szCs w:val="20"/>
          <w:highlight w:val="yellow"/>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u w:val="single"/>
          <w:lang w:val="en-US"/>
        </w:rPr>
      </w:pPr>
      <w:r>
        <w:rPr>
          <w:rFonts w:asciiTheme="majorHAnsi" w:hAnsiTheme="majorHAnsi" w:cs="Arial"/>
          <w:sz w:val="20"/>
          <w:szCs w:val="20"/>
          <w:highlight w:val="yellow"/>
          <w:u w:val="single"/>
          <w:lang w:val="en-US"/>
        </w:rPr>
        <w:t xml:space="preserve">Right </w:t>
      </w:r>
      <w:proofErr w:type="spellStart"/>
      <w:r>
        <w:rPr>
          <w:rFonts w:asciiTheme="majorHAnsi" w:hAnsiTheme="majorHAnsi" w:cs="Arial"/>
          <w:sz w:val="20"/>
          <w:szCs w:val="20"/>
          <w:highlight w:val="yellow"/>
          <w:u w:val="single"/>
          <w:lang w:val="en-US"/>
        </w:rPr>
        <w:t>Fronto</w:t>
      </w:r>
      <w:proofErr w:type="spellEnd"/>
      <w:r>
        <w:rPr>
          <w:rFonts w:asciiTheme="majorHAnsi" w:hAnsiTheme="majorHAnsi" w:cs="Arial"/>
          <w:sz w:val="20"/>
          <w:szCs w:val="20"/>
          <w:highlight w:val="yellow"/>
          <w:u w:val="single"/>
          <w:lang w:val="en-US"/>
        </w:rPr>
        <w:t xml:space="preserve"> Parietal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 xml:space="preserve">Results of the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 xml:space="preserve">-FC analysis in the RFPN indicated a trend in the time x condition interaction in the right middle frontal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w:t>
      </w:r>
      <w:r>
        <w:rPr>
          <w:rFonts w:asciiTheme="majorHAnsi" w:hAnsiTheme="majorHAnsi" w:cs="Arial"/>
          <w:b/>
          <w:sz w:val="20"/>
          <w:szCs w:val="20"/>
          <w:highlight w:val="yellow"/>
          <w:lang w:val="en-US"/>
        </w:rPr>
        <w:t>Figure S3-B, Table S3</w:t>
      </w:r>
      <w:r>
        <w:rPr>
          <w:rFonts w:asciiTheme="majorHAnsi" w:hAnsiTheme="majorHAnsi" w:cs="Arial"/>
          <w:sz w:val="20"/>
          <w:szCs w:val="20"/>
          <w:highlight w:val="yellow"/>
          <w:lang w:val="en-US"/>
        </w:rPr>
        <w:t xml:space="preserve">), driven by a significant increase in FC after ‘low’ exercise intensity in the right middle frontal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(MFG), superior frontal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(SFG), frontal pole and OFC (</w:t>
      </w:r>
      <w:r>
        <w:rPr>
          <w:rFonts w:asciiTheme="majorHAnsi" w:hAnsiTheme="majorHAnsi" w:cs="Arial"/>
          <w:b/>
          <w:sz w:val="20"/>
          <w:szCs w:val="20"/>
          <w:highlight w:val="yellow"/>
          <w:lang w:val="en-US"/>
        </w:rPr>
        <w:t>Figure S4-E, Table S4</w:t>
      </w:r>
      <w:r>
        <w:rPr>
          <w:rFonts w:asciiTheme="majorHAnsi" w:hAnsiTheme="majorHAnsi" w:cs="Arial"/>
          <w:sz w:val="20"/>
          <w:szCs w:val="20"/>
          <w:highlight w:val="yellow"/>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u w:val="single"/>
          <w:lang w:val="en-US"/>
        </w:rPr>
      </w:pPr>
      <w:r>
        <w:rPr>
          <w:rFonts w:asciiTheme="majorHAnsi" w:hAnsiTheme="majorHAnsi" w:cs="Arial"/>
          <w:sz w:val="20"/>
          <w:szCs w:val="20"/>
          <w:highlight w:val="yellow"/>
          <w:u w:val="single"/>
          <w:lang w:val="en-US"/>
        </w:rPr>
        <w:t xml:space="preserve">Sensorimotor Network </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 xml:space="preserve">The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 xml:space="preserve">-FC analysis in the SMN revealed a significant time x condition interaction in the </w:t>
      </w:r>
      <w:proofErr w:type="spellStart"/>
      <w:r>
        <w:rPr>
          <w:rFonts w:asciiTheme="majorHAnsi" w:hAnsiTheme="majorHAnsi" w:cs="Arial"/>
          <w:sz w:val="20"/>
          <w:szCs w:val="20"/>
          <w:highlight w:val="yellow"/>
          <w:lang w:val="en-US"/>
        </w:rPr>
        <w:t>postcentral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w:t>
      </w:r>
      <w:proofErr w:type="spellStart"/>
      <w:r>
        <w:rPr>
          <w:rFonts w:asciiTheme="majorHAnsi" w:hAnsiTheme="majorHAnsi" w:cs="Arial"/>
          <w:sz w:val="20"/>
          <w:szCs w:val="20"/>
          <w:highlight w:val="yellow"/>
          <w:lang w:val="en-US"/>
        </w:rPr>
        <w:t>precuneus</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precentral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and </w:t>
      </w:r>
      <w:proofErr w:type="spellStart"/>
      <w:r>
        <w:rPr>
          <w:rFonts w:asciiTheme="majorHAnsi" w:hAnsiTheme="majorHAnsi" w:cs="Arial"/>
          <w:sz w:val="20"/>
          <w:szCs w:val="20"/>
          <w:highlight w:val="yellow"/>
          <w:lang w:val="en-US"/>
        </w:rPr>
        <w:t>paracentral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lang w:val="en-US"/>
        </w:rPr>
        <w:t xml:space="preserve"> </w:t>
      </w:r>
      <w:r>
        <w:rPr>
          <w:rFonts w:asciiTheme="majorHAnsi" w:hAnsiTheme="majorHAnsi" w:cs="Arial"/>
          <w:sz w:val="20"/>
          <w:szCs w:val="20"/>
          <w:highlight w:val="yellow"/>
          <w:lang w:val="en-US"/>
        </w:rPr>
        <w:t>(</w:t>
      </w:r>
      <w:r>
        <w:rPr>
          <w:rFonts w:asciiTheme="majorHAnsi" w:hAnsiTheme="majorHAnsi" w:cs="Arial"/>
          <w:b/>
          <w:sz w:val="20"/>
          <w:szCs w:val="20"/>
          <w:highlight w:val="yellow"/>
          <w:lang w:val="en-US"/>
        </w:rPr>
        <w:t>Figure S3-C, Table S3</w:t>
      </w:r>
      <w:r>
        <w:rPr>
          <w:rFonts w:asciiTheme="majorHAnsi" w:hAnsiTheme="majorHAnsi" w:cs="Arial"/>
          <w:sz w:val="20"/>
          <w:szCs w:val="20"/>
          <w:highlight w:val="yellow"/>
          <w:lang w:val="en-US"/>
        </w:rPr>
        <w:t xml:space="preserve">). Comparing pre versus post ‘low’ exercise condition showed a significant increase in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 xml:space="preserve">-FC in the </w:t>
      </w:r>
      <w:proofErr w:type="spellStart"/>
      <w:r>
        <w:rPr>
          <w:rFonts w:asciiTheme="majorHAnsi" w:hAnsiTheme="majorHAnsi" w:cs="Arial"/>
          <w:sz w:val="20"/>
          <w:szCs w:val="20"/>
          <w:highlight w:val="yellow"/>
          <w:lang w:val="en-US"/>
        </w:rPr>
        <w:t>precentral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w:t>
      </w:r>
      <w:r>
        <w:rPr>
          <w:rFonts w:asciiTheme="majorHAnsi" w:hAnsiTheme="majorHAnsi" w:cs="Arial"/>
          <w:b/>
          <w:sz w:val="20"/>
          <w:szCs w:val="20"/>
          <w:highlight w:val="yellow"/>
          <w:lang w:val="en-US"/>
        </w:rPr>
        <w:t>Figure S4-F, Table S4</w:t>
      </w:r>
      <w:r>
        <w:rPr>
          <w:rFonts w:asciiTheme="majorHAnsi" w:hAnsiTheme="majorHAnsi" w:cs="Arial"/>
          <w:sz w:val="20"/>
          <w:szCs w:val="20"/>
          <w:highlight w:val="yellow"/>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jc w:val="both"/>
        <w:rPr>
          <w:rFonts w:asciiTheme="majorHAnsi" w:hAnsiTheme="majorHAnsi" w:cs="Arial"/>
          <w:sz w:val="20"/>
          <w:szCs w:val="20"/>
          <w:lang w:val="en-US"/>
        </w:rPr>
      </w:pPr>
      <w:r>
        <w:rPr>
          <w:rFonts w:asciiTheme="majorHAnsi" w:hAnsiTheme="majorHAnsi" w:cs="Arial"/>
          <w:noProof/>
          <w:sz w:val="20"/>
          <w:szCs w:val="20"/>
          <w:lang w:val="en-US" w:eastAsia="en-US"/>
        </w:rPr>
        <w:lastRenderedPageBreak/>
        <w:drawing>
          <wp:inline distT="0" distB="0" distL="0" distR="0">
            <wp:extent cx="5763260" cy="394589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3260" cy="3945890"/>
                    </a:xfrm>
                    <a:prstGeom prst="rect">
                      <a:avLst/>
                    </a:prstGeom>
                    <a:noFill/>
                    <a:ln>
                      <a:noFill/>
                    </a:ln>
                  </pic:spPr>
                </pic:pic>
              </a:graphicData>
            </a:graphic>
          </wp:inline>
        </w:drawing>
      </w:r>
    </w:p>
    <w:p w:rsidR="00A63361" w:rsidRDefault="00A63361" w:rsidP="00A63361">
      <w:pPr>
        <w:jc w:val="both"/>
        <w:rPr>
          <w:rFonts w:asciiTheme="majorHAnsi" w:hAnsiTheme="majorHAnsi"/>
          <w:sz w:val="18"/>
          <w:szCs w:val="20"/>
          <w:lang w:val="en-US"/>
        </w:rPr>
      </w:pPr>
      <w:r>
        <w:rPr>
          <w:rFonts w:asciiTheme="majorHAnsi" w:hAnsiTheme="majorHAnsi" w:cstheme="majorHAnsi"/>
          <w:b/>
          <w:sz w:val="18"/>
          <w:szCs w:val="20"/>
          <w:highlight w:val="yellow"/>
          <w:lang w:val="en-US"/>
        </w:rPr>
        <w:t>Figure S3:</w:t>
      </w:r>
      <w:r>
        <w:rPr>
          <w:rFonts w:asciiTheme="majorHAnsi" w:hAnsiTheme="majorHAnsi" w:cstheme="majorHAnsi"/>
          <w:b/>
          <w:sz w:val="18"/>
          <w:szCs w:val="20"/>
          <w:lang w:val="en-US"/>
        </w:rPr>
        <w:t xml:space="preserve"> </w:t>
      </w:r>
      <w:r>
        <w:rPr>
          <w:rFonts w:asciiTheme="majorHAnsi" w:hAnsiTheme="majorHAnsi" w:cstheme="majorHAnsi"/>
          <w:b/>
          <w:sz w:val="18"/>
          <w:szCs w:val="20"/>
          <w:highlight w:val="yellow"/>
          <w:lang w:val="en-US"/>
        </w:rPr>
        <w:t xml:space="preserve">FC changes </w:t>
      </w:r>
      <w:r>
        <w:rPr>
          <w:rFonts w:asciiTheme="majorHAnsi" w:hAnsiTheme="majorHAnsi" w:cs="Arial"/>
          <w:b/>
          <w:sz w:val="18"/>
          <w:szCs w:val="20"/>
          <w:highlight w:val="yellow"/>
          <w:lang w:val="en-US"/>
        </w:rPr>
        <w:t xml:space="preserve">observed significantly different between conditions (‘low’ and ‘high’ intensity) after implementing nuisance regression (WM and CSF) in our analysis. </w:t>
      </w:r>
      <w:r>
        <w:rPr>
          <w:rFonts w:asciiTheme="majorHAnsi" w:hAnsiTheme="majorHAnsi" w:cstheme="majorHAnsi"/>
          <w:sz w:val="18"/>
          <w:szCs w:val="20"/>
          <w:highlight w:val="yellow"/>
          <w:lang w:val="en-US"/>
        </w:rPr>
        <w:t xml:space="preserve">Significant clusters in the interaction of the: A) RARN in the right anterior insula; B) RFPN in the right middle frontal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(MFG; trend only p=0.086); C) SMN in the left </w:t>
      </w:r>
      <w:proofErr w:type="spellStart"/>
      <w:r>
        <w:rPr>
          <w:rFonts w:asciiTheme="majorHAnsi" w:hAnsiTheme="majorHAnsi" w:cstheme="majorHAnsi"/>
          <w:sz w:val="18"/>
          <w:szCs w:val="20"/>
          <w:highlight w:val="yellow"/>
          <w:lang w:val="en-US"/>
        </w:rPr>
        <w:t>postcentral</w:t>
      </w:r>
      <w:proofErr w:type="spellEnd"/>
      <w:r>
        <w:rPr>
          <w:rFonts w:asciiTheme="majorHAnsi" w:hAnsiTheme="majorHAnsi" w:cstheme="majorHAnsi"/>
          <w:sz w:val="18"/>
          <w:szCs w:val="20"/>
          <w:highlight w:val="yellow"/>
          <w:lang w:val="en-US"/>
        </w:rPr>
        <w:t xml:space="preserve">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w:t>
      </w:r>
      <w:proofErr w:type="spellStart"/>
      <w:r>
        <w:rPr>
          <w:rFonts w:asciiTheme="majorHAnsi" w:hAnsiTheme="majorHAnsi" w:cstheme="majorHAnsi"/>
          <w:sz w:val="18"/>
          <w:szCs w:val="20"/>
          <w:highlight w:val="yellow"/>
          <w:lang w:val="en-US"/>
        </w:rPr>
        <w:t>precuneus</w:t>
      </w:r>
      <w:proofErr w:type="spellEnd"/>
      <w:r>
        <w:rPr>
          <w:rFonts w:asciiTheme="majorHAnsi" w:hAnsiTheme="majorHAnsi" w:cstheme="majorHAnsi"/>
          <w:sz w:val="18"/>
          <w:szCs w:val="20"/>
          <w:highlight w:val="yellow"/>
          <w:lang w:val="en-US"/>
        </w:rPr>
        <w:t xml:space="preserve">, </w:t>
      </w:r>
      <w:proofErr w:type="spellStart"/>
      <w:r>
        <w:rPr>
          <w:rFonts w:asciiTheme="majorHAnsi" w:hAnsiTheme="majorHAnsi" w:cstheme="majorHAnsi"/>
          <w:sz w:val="18"/>
          <w:szCs w:val="20"/>
          <w:highlight w:val="yellow"/>
          <w:lang w:val="en-US"/>
        </w:rPr>
        <w:t>paracentral</w:t>
      </w:r>
      <w:proofErr w:type="spellEnd"/>
      <w:r>
        <w:rPr>
          <w:rFonts w:asciiTheme="majorHAnsi" w:hAnsiTheme="majorHAnsi" w:cstheme="majorHAnsi"/>
          <w:sz w:val="18"/>
          <w:szCs w:val="20"/>
          <w:highlight w:val="yellow"/>
          <w:lang w:val="en-US"/>
        </w:rPr>
        <w:t xml:space="preserve">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and </w:t>
      </w:r>
      <w:proofErr w:type="spellStart"/>
      <w:r>
        <w:rPr>
          <w:rFonts w:asciiTheme="majorHAnsi" w:hAnsiTheme="majorHAnsi" w:cstheme="majorHAnsi"/>
          <w:sz w:val="18"/>
          <w:szCs w:val="20"/>
          <w:highlight w:val="yellow"/>
          <w:lang w:val="en-US"/>
        </w:rPr>
        <w:t>precentral</w:t>
      </w:r>
      <w:proofErr w:type="spellEnd"/>
      <w:r>
        <w:rPr>
          <w:rFonts w:asciiTheme="majorHAnsi" w:hAnsiTheme="majorHAnsi" w:cstheme="majorHAnsi"/>
          <w:sz w:val="18"/>
          <w:szCs w:val="20"/>
          <w:highlight w:val="yellow"/>
          <w:lang w:val="en-US"/>
        </w:rPr>
        <w:t xml:space="preserve">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data shown is corrected for p&lt;0.05, after multiple comparison correction using TFCE approach; z-values were normalized by dividing them by SD; The colors of clusters do not indicate increases or decreases; N=22; </w:t>
      </w:r>
      <w:r>
        <w:rPr>
          <w:rFonts w:asciiTheme="majorHAnsi" w:hAnsiTheme="majorHAnsi" w:cs="Arial"/>
          <w:sz w:val="18"/>
          <w:szCs w:val="20"/>
          <w:highlight w:val="yellow"/>
          <w:lang w:val="en-US"/>
        </w:rPr>
        <w:t>R = right; L = left</w:t>
      </w:r>
      <w:r>
        <w:rPr>
          <w:rFonts w:asciiTheme="majorHAnsi" w:hAnsiTheme="majorHAnsi" w:cstheme="majorHAnsi"/>
          <w:sz w:val="18"/>
          <w:szCs w:val="20"/>
          <w:highlight w:val="yellow"/>
          <w:lang w:val="en-US"/>
        </w:rPr>
        <w:t>.</w:t>
      </w:r>
    </w:p>
    <w:p w:rsidR="00A63361" w:rsidRDefault="00A63361" w:rsidP="00A63361">
      <w:pPr>
        <w:rPr>
          <w:rFonts w:asciiTheme="majorHAnsi" w:hAnsiTheme="majorHAnsi" w:cs="Arial"/>
          <w:b/>
          <w:sz w:val="20"/>
          <w:szCs w:val="20"/>
          <w:lang w:val="en-US"/>
        </w:rPr>
      </w:pPr>
    </w:p>
    <w:tbl>
      <w:tblPr>
        <w:tblStyle w:val="TableGrid"/>
        <w:tblW w:w="9105" w:type="dxa"/>
        <w:tblInd w:w="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0"/>
        <w:gridCol w:w="930"/>
        <w:gridCol w:w="1084"/>
        <w:gridCol w:w="679"/>
        <w:gridCol w:w="679"/>
        <w:gridCol w:w="679"/>
        <w:gridCol w:w="1524"/>
      </w:tblGrid>
      <w:tr w:rsidR="00A63361" w:rsidTr="00A63361">
        <w:trPr>
          <w:trHeight w:hRule="exact" w:val="379"/>
        </w:trPr>
        <w:tc>
          <w:tcPr>
            <w:tcW w:w="3528"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highlight w:val="yellow"/>
                <w:lang w:val="en-US"/>
              </w:rPr>
            </w:pPr>
            <w:r>
              <w:rPr>
                <w:rFonts w:asciiTheme="majorHAnsi" w:hAnsiTheme="majorHAnsi" w:cs="Arial"/>
                <w:b/>
                <w:sz w:val="20"/>
                <w:szCs w:val="20"/>
                <w:highlight w:val="yellow"/>
                <w:lang w:val="en-US"/>
              </w:rPr>
              <w:t>brain region</w:t>
            </w:r>
          </w:p>
        </w:tc>
        <w:tc>
          <w:tcPr>
            <w:tcW w:w="92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highlight w:val="yellow"/>
                <w:lang w:val="en-US"/>
              </w:rPr>
            </w:pPr>
            <w:r>
              <w:rPr>
                <w:rFonts w:asciiTheme="majorHAnsi" w:hAnsiTheme="majorHAnsi" w:cs="Arial"/>
                <w:b/>
                <w:sz w:val="20"/>
                <w:szCs w:val="20"/>
                <w:highlight w:val="yellow"/>
                <w:lang w:val="en-US"/>
              </w:rPr>
              <w:t>side</w:t>
            </w:r>
          </w:p>
        </w:tc>
        <w:tc>
          <w:tcPr>
            <w:tcW w:w="1083"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highlight w:val="yellow"/>
                <w:lang w:val="en-US"/>
              </w:rPr>
            </w:pPr>
            <w:r>
              <w:rPr>
                <w:rFonts w:asciiTheme="majorHAnsi" w:hAnsiTheme="majorHAnsi" w:cs="Arial"/>
                <w:b/>
                <w:sz w:val="20"/>
                <w:szCs w:val="20"/>
                <w:highlight w:val="yellow"/>
                <w:lang w:val="en-US"/>
              </w:rPr>
              <w:t>k</w:t>
            </w:r>
          </w:p>
        </w:tc>
        <w:tc>
          <w:tcPr>
            <w:tcW w:w="67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highlight w:val="yellow"/>
                <w:lang w:val="en-US"/>
              </w:rPr>
            </w:pPr>
            <w:r>
              <w:rPr>
                <w:rFonts w:asciiTheme="majorHAnsi" w:hAnsiTheme="majorHAnsi" w:cs="Arial"/>
                <w:b/>
                <w:sz w:val="20"/>
                <w:szCs w:val="20"/>
                <w:highlight w:val="yellow"/>
                <w:lang w:val="en-US"/>
              </w:rPr>
              <w:t>x</w:t>
            </w:r>
          </w:p>
        </w:tc>
        <w:tc>
          <w:tcPr>
            <w:tcW w:w="67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highlight w:val="yellow"/>
                <w:lang w:val="en-US"/>
              </w:rPr>
            </w:pPr>
            <w:r>
              <w:rPr>
                <w:rFonts w:asciiTheme="majorHAnsi" w:hAnsiTheme="majorHAnsi" w:cs="Arial"/>
                <w:b/>
                <w:sz w:val="20"/>
                <w:szCs w:val="20"/>
                <w:highlight w:val="yellow"/>
                <w:lang w:val="en-US"/>
              </w:rPr>
              <w:t>y</w:t>
            </w:r>
          </w:p>
        </w:tc>
        <w:tc>
          <w:tcPr>
            <w:tcW w:w="67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highlight w:val="yellow"/>
                <w:lang w:val="en-US"/>
              </w:rPr>
            </w:pPr>
            <w:r>
              <w:rPr>
                <w:rFonts w:asciiTheme="majorHAnsi" w:hAnsiTheme="majorHAnsi" w:cs="Arial"/>
                <w:b/>
                <w:sz w:val="20"/>
                <w:szCs w:val="20"/>
                <w:highlight w:val="yellow"/>
                <w:lang w:val="en-US"/>
              </w:rPr>
              <w:t>z</w:t>
            </w:r>
          </w:p>
        </w:tc>
        <w:tc>
          <w:tcPr>
            <w:tcW w:w="1523"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highlight w:val="yellow"/>
                <w:lang w:val="en-US"/>
              </w:rPr>
            </w:pPr>
            <w:r>
              <w:rPr>
                <w:rFonts w:asciiTheme="majorHAnsi" w:hAnsiTheme="majorHAnsi" w:cs="Arial"/>
                <w:b/>
                <w:sz w:val="20"/>
                <w:szCs w:val="20"/>
                <w:highlight w:val="yellow"/>
                <w:lang w:val="en-US"/>
              </w:rPr>
              <w:t>p-value (</w:t>
            </w:r>
            <w:proofErr w:type="spellStart"/>
            <w:r>
              <w:rPr>
                <w:rFonts w:asciiTheme="majorHAnsi" w:hAnsiTheme="majorHAnsi" w:cs="Arial"/>
                <w:b/>
                <w:sz w:val="20"/>
                <w:szCs w:val="20"/>
                <w:highlight w:val="yellow"/>
                <w:lang w:val="en-US"/>
              </w:rPr>
              <w:t>tfce</w:t>
            </w:r>
            <w:proofErr w:type="spellEnd"/>
            <w:r>
              <w:rPr>
                <w:rFonts w:asciiTheme="majorHAnsi" w:hAnsiTheme="majorHAnsi" w:cs="Arial"/>
                <w:b/>
                <w:sz w:val="20"/>
                <w:szCs w:val="20"/>
                <w:highlight w:val="yellow"/>
                <w:lang w:val="en-US"/>
              </w:rPr>
              <w:t>)</w:t>
            </w:r>
          </w:p>
        </w:tc>
      </w:tr>
      <w:tr w:rsidR="00A63361" w:rsidTr="00A63361">
        <w:trPr>
          <w:trHeight w:val="711"/>
        </w:trPr>
        <w:tc>
          <w:tcPr>
            <w:tcW w:w="4457" w:type="dxa"/>
            <w:gridSpan w:val="2"/>
            <w:tcBorders>
              <w:top w:val="single" w:sz="18" w:space="0" w:color="auto"/>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highlight w:val="yellow"/>
                <w:u w:val="single"/>
                <w:lang w:val="en-US"/>
              </w:rPr>
            </w:pPr>
            <w:r>
              <w:rPr>
                <w:rFonts w:asciiTheme="majorHAnsi" w:hAnsiTheme="majorHAnsi" w:cs="Arial"/>
                <w:i/>
                <w:sz w:val="20"/>
                <w:szCs w:val="20"/>
                <w:highlight w:val="yellow"/>
                <w:u w:val="single"/>
                <w:lang w:val="en-US"/>
              </w:rPr>
              <w:t>RARN - ‘high’ &gt; ‘low’</w:t>
            </w:r>
          </w:p>
        </w:tc>
        <w:tc>
          <w:tcPr>
            <w:tcW w:w="1083"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679"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679"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679"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1523"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insula</w:t>
            </w:r>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33</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30</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14</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-18</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0.013</w:t>
            </w: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sz w:val="20"/>
                <w:szCs w:val="20"/>
                <w:highlight w:val="yellow"/>
                <w:lang w:val="en-US"/>
              </w:rPr>
            </w:pPr>
            <w:r>
              <w:rPr>
                <w:rFonts w:asciiTheme="majorHAnsi" w:hAnsiTheme="majorHAnsi" w:cs="Arial"/>
                <w:i/>
                <w:sz w:val="20"/>
                <w:szCs w:val="20"/>
                <w:highlight w:val="yellow"/>
                <w:u w:val="single"/>
                <w:lang w:val="en-US"/>
              </w:rPr>
              <w:t>RFPN - ‘low’ &gt; ‘high’</w:t>
            </w:r>
          </w:p>
        </w:tc>
        <w:tc>
          <w:tcPr>
            <w:tcW w:w="929"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108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1523" w:type="dxa"/>
            <w:tcBorders>
              <w:top w:val="nil"/>
              <w:left w:val="nil"/>
              <w:bottom w:val="nil"/>
              <w:right w:val="nil"/>
            </w:tcBorders>
            <w:vAlign w:val="bottom"/>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middle frontal </w:t>
            </w:r>
            <w:proofErr w:type="spellStart"/>
            <w:r>
              <w:rPr>
                <w:rFonts w:asciiTheme="majorHAnsi" w:hAnsiTheme="majorHAnsi" w:cs="Arial"/>
                <w:sz w:val="20"/>
                <w:szCs w:val="20"/>
                <w:highlight w:val="yellow"/>
                <w:lang w:val="en-US"/>
              </w:rPr>
              <w:t>gyrus</w:t>
            </w:r>
            <w:proofErr w:type="spellEnd"/>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44</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56</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0.086**</w:t>
            </w:r>
          </w:p>
        </w:tc>
      </w:tr>
      <w:tr w:rsidR="00A63361" w:rsidTr="00A63361">
        <w:trPr>
          <w:trHeight w:val="711"/>
        </w:trPr>
        <w:tc>
          <w:tcPr>
            <w:tcW w:w="4457" w:type="dxa"/>
            <w:gridSpan w:val="2"/>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highlight w:val="yellow"/>
                <w:u w:val="single"/>
                <w:lang w:val="en-US"/>
              </w:rPr>
            </w:pPr>
            <w:r>
              <w:rPr>
                <w:rFonts w:asciiTheme="majorHAnsi" w:hAnsiTheme="majorHAnsi" w:cs="Arial"/>
                <w:i/>
                <w:sz w:val="20"/>
                <w:szCs w:val="20"/>
                <w:highlight w:val="yellow"/>
                <w:u w:val="single"/>
                <w:lang w:val="en-US"/>
              </w:rPr>
              <w:t>SMN- ‘low’ &gt; ‘high’</w:t>
            </w:r>
          </w:p>
        </w:tc>
        <w:tc>
          <w:tcPr>
            <w:tcW w:w="108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152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green"/>
                <w:lang w:val="en-US"/>
              </w:rPr>
            </w:pPr>
            <w:proofErr w:type="spellStart"/>
            <w:r>
              <w:rPr>
                <w:rFonts w:asciiTheme="majorHAnsi" w:hAnsiTheme="majorHAnsi" w:cs="Arial"/>
                <w:sz w:val="20"/>
                <w:szCs w:val="20"/>
                <w:highlight w:val="yellow"/>
                <w:lang w:val="en-US"/>
              </w:rPr>
              <w:t>precuneus</w:t>
            </w:r>
            <w:proofErr w:type="spellEnd"/>
            <w:r>
              <w:rPr>
                <w:rFonts w:asciiTheme="majorHAnsi" w:hAnsiTheme="majorHAnsi" w:cs="Arial"/>
                <w:sz w:val="20"/>
                <w:szCs w:val="20"/>
                <w:highlight w:val="yellow"/>
                <w:lang w:val="en-US"/>
              </w:rPr>
              <w:t>/</w:t>
            </w:r>
            <w:proofErr w:type="spellStart"/>
            <w:r>
              <w:rPr>
                <w:rFonts w:asciiTheme="majorHAnsi" w:hAnsiTheme="majorHAnsi" w:cs="Arial"/>
                <w:sz w:val="20"/>
                <w:szCs w:val="20"/>
                <w:highlight w:val="yellow"/>
                <w:lang w:val="en-US"/>
              </w:rPr>
              <w:t>postcentral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758</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-40</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56</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0.015</w:t>
            </w: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green"/>
                <w:lang w:val="en-US"/>
              </w:rPr>
            </w:pPr>
            <w:proofErr w:type="spellStart"/>
            <w:r>
              <w:rPr>
                <w:rFonts w:asciiTheme="majorHAnsi" w:hAnsiTheme="majorHAnsi" w:cs="Arial"/>
                <w:sz w:val="20"/>
                <w:szCs w:val="20"/>
                <w:highlight w:val="yellow"/>
                <w:lang w:val="en-US"/>
              </w:rPr>
              <w:t>paracentral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35</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8</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-44</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76</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0.044</w:t>
            </w:r>
          </w:p>
        </w:tc>
      </w:tr>
      <w:tr w:rsidR="00A63361" w:rsidTr="00A63361">
        <w:trPr>
          <w:trHeight w:val="475"/>
        </w:trPr>
        <w:tc>
          <w:tcPr>
            <w:tcW w:w="3528"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green"/>
                <w:lang w:val="en-US"/>
              </w:rPr>
            </w:pPr>
            <w:proofErr w:type="spellStart"/>
            <w:r>
              <w:rPr>
                <w:rFonts w:asciiTheme="majorHAnsi" w:hAnsiTheme="majorHAnsi" w:cs="Arial"/>
                <w:sz w:val="20"/>
                <w:szCs w:val="20"/>
                <w:highlight w:val="yellow"/>
                <w:lang w:val="en-US"/>
              </w:rPr>
              <w:t>precentral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p>
        </w:tc>
        <w:tc>
          <w:tcPr>
            <w:tcW w:w="929"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1083"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w:t>
            </w:r>
          </w:p>
        </w:tc>
        <w:tc>
          <w:tcPr>
            <w:tcW w:w="679"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-10</w:t>
            </w:r>
          </w:p>
        </w:tc>
        <w:tc>
          <w:tcPr>
            <w:tcW w:w="679"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-22</w:t>
            </w:r>
          </w:p>
        </w:tc>
        <w:tc>
          <w:tcPr>
            <w:tcW w:w="679"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66</w:t>
            </w:r>
          </w:p>
        </w:tc>
        <w:tc>
          <w:tcPr>
            <w:tcW w:w="1523" w:type="dxa"/>
            <w:tcBorders>
              <w:top w:val="nil"/>
              <w:left w:val="nil"/>
              <w:bottom w:val="single" w:sz="18" w:space="0" w:color="auto"/>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0.049</w:t>
            </w:r>
          </w:p>
        </w:tc>
      </w:tr>
    </w:tbl>
    <w:p w:rsidR="00A63361" w:rsidRDefault="00A63361" w:rsidP="00A63361">
      <w:pPr>
        <w:widowControl w:val="0"/>
        <w:autoSpaceDE w:val="0"/>
        <w:autoSpaceDN w:val="0"/>
        <w:adjustRightInd w:val="0"/>
        <w:jc w:val="both"/>
        <w:rPr>
          <w:sz w:val="18"/>
          <w:szCs w:val="20"/>
          <w:lang w:val="en-US"/>
        </w:rPr>
      </w:pPr>
      <w:r>
        <w:rPr>
          <w:rFonts w:asciiTheme="majorHAnsi" w:hAnsiTheme="majorHAnsi" w:cs="Arial"/>
          <w:b/>
          <w:sz w:val="18"/>
          <w:szCs w:val="20"/>
          <w:highlight w:val="yellow"/>
          <w:lang w:val="en-US"/>
        </w:rPr>
        <w:t xml:space="preserve">Table S3: Brain regions observed significantly different between conditions (‘low’ and ‘high’ intensity) in our </w:t>
      </w:r>
      <w:r>
        <w:rPr>
          <w:rFonts w:asciiTheme="majorHAnsi" w:hAnsiTheme="majorHAnsi" w:cs="Arial"/>
          <w:b/>
          <w:sz w:val="18"/>
          <w:szCs w:val="20"/>
          <w:highlight w:val="yellow"/>
          <w:lang w:val="en-US"/>
        </w:rPr>
        <w:lastRenderedPageBreak/>
        <w:t xml:space="preserve">analysis after implementing nuisance regression (WM and CSF). </w:t>
      </w:r>
      <w:r>
        <w:rPr>
          <w:rFonts w:asciiTheme="majorHAnsi" w:hAnsiTheme="majorHAnsi" w:cs="Arial"/>
          <w:sz w:val="18"/>
          <w:szCs w:val="20"/>
          <w:highlight w:val="yellow"/>
          <w:lang w:val="en-US"/>
        </w:rPr>
        <w:t>Coordinates presented are in MNI space; k = cluster size; N = 22; *small cluster size, needs to be treated with caution; ** represents a trend.</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u w:val="single"/>
          <w:lang w:val="en-US"/>
        </w:rPr>
      </w:pPr>
      <w:r>
        <w:rPr>
          <w:rFonts w:asciiTheme="majorHAnsi" w:hAnsiTheme="majorHAnsi" w:cs="Arial"/>
          <w:sz w:val="20"/>
          <w:szCs w:val="20"/>
          <w:highlight w:val="yellow"/>
          <w:u w:val="single"/>
          <w:lang w:val="en-US"/>
        </w:rPr>
        <w:t>Default Mode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 xml:space="preserve">The DMN revealed no significant time x condition interaction in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-FC. However, there was a significant increase in FC from pre to post ‘low’ exercise condition in the SFG (</w:t>
      </w:r>
      <w:r>
        <w:rPr>
          <w:rFonts w:asciiTheme="majorHAnsi" w:hAnsiTheme="majorHAnsi" w:cs="Arial"/>
          <w:b/>
          <w:sz w:val="20"/>
          <w:szCs w:val="20"/>
          <w:highlight w:val="yellow"/>
          <w:lang w:val="en-US"/>
        </w:rPr>
        <w:t>Figure S4-A, Table S4</w:t>
      </w:r>
      <w:r>
        <w:rPr>
          <w:rFonts w:asciiTheme="majorHAnsi" w:hAnsiTheme="majorHAnsi" w:cs="Arial"/>
          <w:sz w:val="20"/>
          <w:szCs w:val="20"/>
          <w:highlight w:val="yellow"/>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u w:val="single"/>
          <w:lang w:val="en-US"/>
        </w:rPr>
      </w:pPr>
      <w:r>
        <w:rPr>
          <w:rFonts w:asciiTheme="majorHAnsi" w:hAnsiTheme="majorHAnsi" w:cs="Arial"/>
          <w:sz w:val="20"/>
          <w:szCs w:val="20"/>
          <w:highlight w:val="yellow"/>
          <w:u w:val="single"/>
          <w:lang w:val="en-US"/>
        </w:rPr>
        <w:t>Left Affect and Reward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The LARN did not reveal a significant time x condition interaction in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-FC. However, there was a significant increase in FC from pre to post ‘high’ exercise condition in the left OFC (</w:t>
      </w:r>
      <w:r>
        <w:rPr>
          <w:rFonts w:asciiTheme="majorHAnsi" w:hAnsiTheme="majorHAnsi" w:cs="Arial"/>
          <w:b/>
          <w:sz w:val="20"/>
          <w:szCs w:val="20"/>
          <w:highlight w:val="yellow"/>
          <w:lang w:val="en-US"/>
        </w:rPr>
        <w:t>Figure S4-B, Table S4</w:t>
      </w:r>
      <w:r>
        <w:rPr>
          <w:rFonts w:asciiTheme="majorHAnsi" w:hAnsiTheme="majorHAnsi" w:cs="Arial"/>
          <w:sz w:val="20"/>
          <w:szCs w:val="20"/>
          <w:highlight w:val="yellow"/>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u w:val="single"/>
          <w:lang w:val="en-US"/>
        </w:rPr>
      </w:pPr>
      <w:r>
        <w:rPr>
          <w:rFonts w:asciiTheme="majorHAnsi" w:hAnsiTheme="majorHAnsi" w:cs="Arial"/>
          <w:sz w:val="20"/>
          <w:szCs w:val="20"/>
          <w:highlight w:val="yellow"/>
          <w:u w:val="single"/>
          <w:lang w:val="en-US"/>
        </w:rPr>
        <w:t xml:space="preserve">Left </w:t>
      </w:r>
      <w:proofErr w:type="spellStart"/>
      <w:r>
        <w:rPr>
          <w:rFonts w:asciiTheme="majorHAnsi" w:hAnsiTheme="majorHAnsi" w:cs="Arial"/>
          <w:sz w:val="20"/>
          <w:szCs w:val="20"/>
          <w:highlight w:val="yellow"/>
          <w:u w:val="single"/>
          <w:lang w:val="en-US"/>
        </w:rPr>
        <w:t>Fronto</w:t>
      </w:r>
      <w:proofErr w:type="spellEnd"/>
      <w:r>
        <w:rPr>
          <w:rFonts w:asciiTheme="majorHAnsi" w:hAnsiTheme="majorHAnsi" w:cs="Arial"/>
          <w:sz w:val="20"/>
          <w:szCs w:val="20"/>
          <w:highlight w:val="yellow"/>
          <w:u w:val="single"/>
          <w:lang w:val="en-US"/>
        </w:rPr>
        <w:t xml:space="preserve"> Parietal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 xml:space="preserve">The LFPN did not reveal a significant time x condition interaction, but a significant increase in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-FC from pre to post ‘low’ exercise condition in the inferior parietal lobule (IPL) (</w:t>
      </w:r>
      <w:r>
        <w:rPr>
          <w:rFonts w:asciiTheme="majorHAnsi" w:hAnsiTheme="majorHAnsi" w:cs="Arial"/>
          <w:b/>
          <w:sz w:val="20"/>
          <w:szCs w:val="20"/>
          <w:highlight w:val="yellow"/>
          <w:lang w:val="en-US"/>
        </w:rPr>
        <w:t>Figure S4-C, Table S4</w:t>
      </w:r>
      <w:r>
        <w:rPr>
          <w:rFonts w:asciiTheme="majorHAnsi" w:hAnsiTheme="majorHAnsi" w:cs="Arial"/>
          <w:sz w:val="20"/>
          <w:szCs w:val="20"/>
          <w:highlight w:val="yellow"/>
          <w:lang w:val="en-US"/>
        </w:rPr>
        <w:t>).</w:t>
      </w:r>
    </w:p>
    <w:p w:rsidR="00A63361" w:rsidRDefault="00A63361" w:rsidP="00A63361">
      <w:pPr>
        <w:spacing w:line="480" w:lineRule="auto"/>
        <w:rPr>
          <w:rFonts w:asciiTheme="majorHAnsi" w:hAnsiTheme="majorHAnsi" w:cs="Arial"/>
          <w:b/>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r>
        <w:rPr>
          <w:rFonts w:asciiTheme="majorHAnsi" w:hAnsiTheme="majorHAnsi" w:cs="Arial"/>
          <w:sz w:val="20"/>
          <w:szCs w:val="20"/>
          <w:highlight w:val="yellow"/>
          <w:u w:val="single"/>
          <w:lang w:val="en-US"/>
        </w:rPr>
        <w:t>Other networks</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We did not detect any further significant changes in FC in the other examined RSN. However, we could detect a statistical trend in the Salience network in the interaction time x condition (p=0.096).</w:t>
      </w:r>
    </w:p>
    <w:p w:rsidR="00A63361" w:rsidRDefault="00A63361" w:rsidP="00A63361">
      <w:pPr>
        <w:rPr>
          <w:rFonts w:asciiTheme="majorHAnsi" w:hAnsiTheme="majorHAnsi" w:cs="Arial"/>
          <w:b/>
          <w:sz w:val="20"/>
          <w:szCs w:val="20"/>
          <w:lang w:val="en-US"/>
        </w:rPr>
      </w:pPr>
      <w:r>
        <w:rPr>
          <w:rFonts w:asciiTheme="majorHAnsi" w:hAnsiTheme="majorHAnsi" w:cs="Arial"/>
          <w:b/>
          <w:sz w:val="20"/>
          <w:szCs w:val="20"/>
          <w:lang w:val="en-US"/>
        </w:rPr>
        <w:br w:type="page"/>
      </w:r>
    </w:p>
    <w:p w:rsidR="00A63361" w:rsidRDefault="00A63361" w:rsidP="00A63361">
      <w:pPr>
        <w:rPr>
          <w:rFonts w:asciiTheme="majorHAnsi" w:hAnsiTheme="majorHAnsi" w:cs="Arial"/>
          <w:b/>
          <w:sz w:val="20"/>
          <w:szCs w:val="20"/>
          <w:lang w:val="en-US"/>
        </w:rPr>
      </w:pPr>
      <w:r>
        <w:rPr>
          <w:rFonts w:asciiTheme="majorHAnsi" w:hAnsiTheme="majorHAnsi" w:cs="Arial"/>
          <w:b/>
          <w:noProof/>
          <w:sz w:val="20"/>
          <w:szCs w:val="20"/>
          <w:lang w:val="en-US" w:eastAsia="en-US"/>
        </w:rPr>
        <w:lastRenderedPageBreak/>
        <w:drawing>
          <wp:inline distT="0" distB="0" distL="0" distR="0">
            <wp:extent cx="5752465" cy="756475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465" cy="7564755"/>
                    </a:xfrm>
                    <a:prstGeom prst="rect">
                      <a:avLst/>
                    </a:prstGeom>
                    <a:noFill/>
                    <a:ln>
                      <a:noFill/>
                    </a:ln>
                  </pic:spPr>
                </pic:pic>
              </a:graphicData>
            </a:graphic>
          </wp:inline>
        </w:drawing>
      </w:r>
    </w:p>
    <w:p w:rsidR="00A63361" w:rsidRDefault="00A63361" w:rsidP="00A63361">
      <w:pPr>
        <w:jc w:val="both"/>
        <w:rPr>
          <w:rFonts w:asciiTheme="majorHAnsi" w:hAnsiTheme="majorHAnsi" w:cstheme="majorHAnsi"/>
          <w:sz w:val="18"/>
          <w:szCs w:val="20"/>
          <w:highlight w:val="yellow"/>
          <w:lang w:val="en-US"/>
        </w:rPr>
      </w:pPr>
      <w:r>
        <w:rPr>
          <w:rFonts w:asciiTheme="majorHAnsi" w:hAnsiTheme="majorHAnsi" w:cstheme="majorHAnsi"/>
          <w:b/>
          <w:sz w:val="18"/>
          <w:szCs w:val="20"/>
          <w:highlight w:val="yellow"/>
          <w:lang w:val="en-US"/>
        </w:rPr>
        <w:t>Figure S4:</w:t>
      </w:r>
      <w:r>
        <w:rPr>
          <w:rFonts w:asciiTheme="majorHAnsi" w:hAnsiTheme="majorHAnsi" w:cstheme="majorHAnsi"/>
          <w:b/>
          <w:sz w:val="18"/>
          <w:szCs w:val="20"/>
          <w:lang w:val="en-US"/>
        </w:rPr>
        <w:t xml:space="preserve"> </w:t>
      </w:r>
      <w:r>
        <w:rPr>
          <w:rFonts w:asciiTheme="majorHAnsi" w:hAnsiTheme="majorHAnsi" w:cstheme="majorHAnsi"/>
          <w:b/>
          <w:sz w:val="18"/>
          <w:szCs w:val="20"/>
          <w:highlight w:val="yellow"/>
          <w:lang w:val="en-US"/>
        </w:rPr>
        <w:t xml:space="preserve">Differential effects in </w:t>
      </w:r>
      <w:proofErr w:type="spellStart"/>
      <w:r>
        <w:rPr>
          <w:rFonts w:asciiTheme="majorHAnsi" w:hAnsiTheme="majorHAnsi" w:cstheme="majorHAnsi"/>
          <w:b/>
          <w:sz w:val="18"/>
          <w:szCs w:val="20"/>
          <w:highlight w:val="yellow"/>
          <w:lang w:val="en-US"/>
        </w:rPr>
        <w:t>rs</w:t>
      </w:r>
      <w:proofErr w:type="spellEnd"/>
      <w:r>
        <w:rPr>
          <w:rFonts w:asciiTheme="majorHAnsi" w:hAnsiTheme="majorHAnsi" w:cstheme="majorHAnsi"/>
          <w:b/>
          <w:sz w:val="18"/>
          <w:szCs w:val="20"/>
          <w:highlight w:val="yellow"/>
          <w:lang w:val="en-US"/>
        </w:rPr>
        <w:t xml:space="preserve">-FC from pre to post within each exercise condition in our analysis after implementing nuisance </w:t>
      </w:r>
      <w:proofErr w:type="spellStart"/>
      <w:r>
        <w:rPr>
          <w:rFonts w:asciiTheme="majorHAnsi" w:hAnsiTheme="majorHAnsi" w:cstheme="majorHAnsi"/>
          <w:b/>
          <w:sz w:val="18"/>
          <w:szCs w:val="20"/>
          <w:highlight w:val="yellow"/>
          <w:lang w:val="en-US"/>
        </w:rPr>
        <w:t>regession</w:t>
      </w:r>
      <w:proofErr w:type="spellEnd"/>
      <w:r>
        <w:rPr>
          <w:rFonts w:asciiTheme="majorHAnsi" w:hAnsiTheme="majorHAnsi" w:cstheme="majorHAnsi"/>
          <w:b/>
          <w:sz w:val="18"/>
          <w:szCs w:val="20"/>
          <w:highlight w:val="yellow"/>
          <w:lang w:val="en-US"/>
        </w:rPr>
        <w:t xml:space="preserve"> (WM and CSF). </w:t>
      </w:r>
      <w:proofErr w:type="spellStart"/>
      <w:r>
        <w:rPr>
          <w:rFonts w:asciiTheme="majorHAnsi" w:hAnsiTheme="majorHAnsi" w:cstheme="majorHAnsi"/>
          <w:sz w:val="18"/>
          <w:szCs w:val="20"/>
          <w:highlight w:val="yellow"/>
          <w:lang w:val="en-US"/>
        </w:rPr>
        <w:t>Rs</w:t>
      </w:r>
      <w:proofErr w:type="spellEnd"/>
      <w:r>
        <w:rPr>
          <w:rFonts w:asciiTheme="majorHAnsi" w:hAnsiTheme="majorHAnsi" w:cstheme="majorHAnsi"/>
          <w:sz w:val="18"/>
          <w:szCs w:val="20"/>
          <w:highlight w:val="yellow"/>
          <w:lang w:val="en-US"/>
        </w:rPr>
        <w:t>-FC changes in the:</w:t>
      </w:r>
      <w:r>
        <w:rPr>
          <w:rFonts w:asciiTheme="majorHAnsi" w:hAnsiTheme="majorHAnsi" w:cstheme="majorHAnsi"/>
          <w:b/>
          <w:sz w:val="18"/>
          <w:szCs w:val="20"/>
          <w:highlight w:val="yellow"/>
          <w:lang w:val="en-US"/>
        </w:rPr>
        <w:t xml:space="preserve"> </w:t>
      </w:r>
      <w:r>
        <w:rPr>
          <w:rFonts w:asciiTheme="majorHAnsi" w:hAnsiTheme="majorHAnsi" w:cstheme="majorHAnsi"/>
          <w:sz w:val="18"/>
          <w:szCs w:val="20"/>
          <w:highlight w:val="yellow"/>
          <w:lang w:val="en-US"/>
        </w:rPr>
        <w:t xml:space="preserve">A) DMN within the low condition (post&gt;pre) in the superior frontal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(SFG), B) LARN within the ‘high’ condition (pre&gt;post) in the orbitofrontal cortex (OFC), C) LFPN within the ‘low’ condition (post&gt;pre) in the inferior parietal lobule (IPL), D) RARN within the ‘high’ condition (post&gt;pre) </w:t>
      </w:r>
      <w:r>
        <w:rPr>
          <w:rFonts w:asciiTheme="majorHAnsi" w:hAnsiTheme="majorHAnsi" w:cstheme="majorHAnsi"/>
          <w:sz w:val="18"/>
          <w:szCs w:val="20"/>
          <w:highlight w:val="yellow"/>
          <w:lang w:val="en-US"/>
        </w:rPr>
        <w:lastRenderedPageBreak/>
        <w:t xml:space="preserve">in the OFC, E) RFPN within the ‘low’ condition (post&gt;pre) in the middle frontal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(MFG), frontal pole, OFC </w:t>
      </w:r>
      <w:proofErr w:type="spellStart"/>
      <w:r>
        <w:rPr>
          <w:rFonts w:asciiTheme="majorHAnsi" w:hAnsiTheme="majorHAnsi" w:cstheme="majorHAnsi"/>
          <w:sz w:val="18"/>
          <w:szCs w:val="20"/>
          <w:highlight w:val="yellow"/>
          <w:lang w:val="en-US"/>
        </w:rPr>
        <w:t>ans</w:t>
      </w:r>
      <w:proofErr w:type="spellEnd"/>
      <w:r>
        <w:rPr>
          <w:rFonts w:asciiTheme="majorHAnsi" w:hAnsiTheme="majorHAnsi" w:cstheme="majorHAnsi"/>
          <w:sz w:val="18"/>
          <w:szCs w:val="20"/>
          <w:highlight w:val="yellow"/>
          <w:lang w:val="en-US"/>
        </w:rPr>
        <w:t xml:space="preserve"> SFG, F) SMN within the ‘low’ condition (post&gt;pre) in the </w:t>
      </w:r>
      <w:proofErr w:type="spellStart"/>
      <w:r>
        <w:rPr>
          <w:rFonts w:asciiTheme="majorHAnsi" w:hAnsiTheme="majorHAnsi" w:cstheme="majorHAnsi"/>
          <w:sz w:val="18"/>
          <w:szCs w:val="20"/>
          <w:highlight w:val="yellow"/>
          <w:lang w:val="en-US"/>
        </w:rPr>
        <w:t>precentral</w:t>
      </w:r>
      <w:proofErr w:type="spellEnd"/>
      <w:r>
        <w:rPr>
          <w:rFonts w:asciiTheme="majorHAnsi" w:hAnsiTheme="majorHAnsi" w:cstheme="majorHAnsi"/>
          <w:sz w:val="18"/>
          <w:szCs w:val="20"/>
          <w:highlight w:val="yellow"/>
          <w:lang w:val="en-US"/>
        </w:rPr>
        <w:t xml:space="preserve">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data shown is corrected for p&lt;0.05, after multiple comparison correction using TFCE approach; z-values were normalized by dividing them by SD; The colors of clusters do not indicate increases or decreases; N=22; </w:t>
      </w:r>
      <w:r>
        <w:rPr>
          <w:rFonts w:asciiTheme="majorHAnsi" w:hAnsiTheme="majorHAnsi" w:cs="Arial"/>
          <w:sz w:val="18"/>
          <w:szCs w:val="20"/>
          <w:highlight w:val="yellow"/>
          <w:lang w:val="en-US"/>
        </w:rPr>
        <w:t>R = right; L = left; *indicates significant change in FC</w:t>
      </w:r>
      <w:r>
        <w:rPr>
          <w:rFonts w:asciiTheme="majorHAnsi" w:hAnsiTheme="majorHAnsi" w:cstheme="majorHAnsi"/>
          <w:sz w:val="18"/>
          <w:szCs w:val="20"/>
          <w:highlight w:val="yellow"/>
          <w:lang w:val="en-US"/>
        </w:rPr>
        <w:t>.</w:t>
      </w:r>
    </w:p>
    <w:p w:rsidR="00A63361" w:rsidRDefault="00A63361" w:rsidP="00A63361">
      <w:pPr>
        <w:rPr>
          <w:rFonts w:asciiTheme="majorHAnsi" w:hAnsiTheme="majorHAnsi" w:cstheme="majorHAnsi"/>
          <w:sz w:val="20"/>
          <w:szCs w:val="20"/>
          <w:highlight w:val="yellow"/>
          <w:lang w:val="en-US"/>
        </w:rPr>
      </w:pPr>
      <w:r>
        <w:rPr>
          <w:rFonts w:asciiTheme="majorHAnsi" w:hAnsiTheme="majorHAnsi" w:cstheme="majorHAnsi"/>
          <w:sz w:val="20"/>
          <w:szCs w:val="20"/>
          <w:highlight w:val="yellow"/>
          <w:lang w:val="en-US"/>
        </w:rPr>
        <w:br w:type="page"/>
      </w:r>
    </w:p>
    <w:tbl>
      <w:tblPr>
        <w:tblStyle w:val="TableGrid"/>
        <w:tblW w:w="9180" w:type="dxa"/>
        <w:tblInd w:w="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992"/>
        <w:gridCol w:w="993"/>
        <w:gridCol w:w="850"/>
        <w:gridCol w:w="850"/>
        <w:gridCol w:w="851"/>
        <w:gridCol w:w="1559"/>
      </w:tblGrid>
      <w:tr w:rsidR="00A63361" w:rsidTr="00A63361">
        <w:trPr>
          <w:trHeight w:hRule="exact" w:val="332"/>
        </w:trPr>
        <w:tc>
          <w:tcPr>
            <w:tcW w:w="3085"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lang w:val="en-US"/>
              </w:rPr>
            </w:pPr>
            <w:r>
              <w:rPr>
                <w:rFonts w:asciiTheme="majorHAnsi" w:hAnsiTheme="majorHAnsi" w:cs="Arial"/>
                <w:b/>
                <w:sz w:val="20"/>
                <w:szCs w:val="20"/>
                <w:lang w:val="en-US"/>
              </w:rPr>
              <w:lastRenderedPageBreak/>
              <w:t>brain region</w:t>
            </w:r>
          </w:p>
        </w:tc>
        <w:tc>
          <w:tcPr>
            <w:tcW w:w="992"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lang w:val="en-US"/>
              </w:rPr>
            </w:pPr>
            <w:r>
              <w:rPr>
                <w:rFonts w:asciiTheme="majorHAnsi" w:hAnsiTheme="majorHAnsi" w:cs="Arial"/>
                <w:b/>
                <w:sz w:val="20"/>
                <w:szCs w:val="20"/>
                <w:lang w:val="en-US"/>
              </w:rPr>
              <w:t>side</w:t>
            </w:r>
          </w:p>
        </w:tc>
        <w:tc>
          <w:tcPr>
            <w:tcW w:w="993"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k</w:t>
            </w:r>
          </w:p>
        </w:tc>
        <w:tc>
          <w:tcPr>
            <w:tcW w:w="850"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x</w:t>
            </w:r>
          </w:p>
        </w:tc>
        <w:tc>
          <w:tcPr>
            <w:tcW w:w="850"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y</w:t>
            </w:r>
          </w:p>
        </w:tc>
        <w:tc>
          <w:tcPr>
            <w:tcW w:w="851"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z</w:t>
            </w:r>
          </w:p>
        </w:tc>
        <w:tc>
          <w:tcPr>
            <w:tcW w:w="155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p-value (</w:t>
            </w:r>
            <w:proofErr w:type="spellStart"/>
            <w:r>
              <w:rPr>
                <w:rFonts w:asciiTheme="majorHAnsi" w:hAnsiTheme="majorHAnsi" w:cs="Arial"/>
                <w:b/>
                <w:sz w:val="20"/>
                <w:szCs w:val="20"/>
                <w:lang w:val="en-US"/>
              </w:rPr>
              <w:t>tfce</w:t>
            </w:r>
            <w:proofErr w:type="spellEnd"/>
            <w:r>
              <w:rPr>
                <w:rFonts w:asciiTheme="majorHAnsi" w:hAnsiTheme="majorHAnsi" w:cs="Arial"/>
                <w:b/>
                <w:sz w:val="20"/>
                <w:szCs w:val="20"/>
                <w:lang w:val="en-US"/>
              </w:rPr>
              <w:t>)</w:t>
            </w:r>
          </w:p>
        </w:tc>
      </w:tr>
      <w:tr w:rsidR="00A63361" w:rsidTr="00A63361">
        <w:tc>
          <w:tcPr>
            <w:tcW w:w="4077" w:type="dxa"/>
            <w:gridSpan w:val="2"/>
            <w:tcBorders>
              <w:top w:val="single" w:sz="18" w:space="0" w:color="auto"/>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highlight w:val="yellow"/>
                <w:u w:val="single"/>
                <w:lang w:val="en-US"/>
              </w:rPr>
            </w:pPr>
            <w:r>
              <w:rPr>
                <w:rFonts w:asciiTheme="majorHAnsi" w:hAnsiTheme="majorHAnsi" w:cs="Arial"/>
                <w:i/>
                <w:sz w:val="20"/>
                <w:szCs w:val="20"/>
                <w:highlight w:val="yellow"/>
                <w:u w:val="single"/>
                <w:lang w:val="en-US"/>
              </w:rPr>
              <w:t>DMN – ‘low’ post&gt;pre</w:t>
            </w:r>
          </w:p>
        </w:tc>
        <w:tc>
          <w:tcPr>
            <w:tcW w:w="993"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0"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0"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1"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1559"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superior frontal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39</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26</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60</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0.027</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superior frontal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15</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8</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36</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58</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0.031</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sz w:val="20"/>
                <w:szCs w:val="20"/>
                <w:highlight w:val="yellow"/>
                <w:lang w:val="en-US"/>
              </w:rPr>
            </w:pPr>
            <w:r>
              <w:rPr>
                <w:rFonts w:asciiTheme="majorHAnsi" w:hAnsiTheme="majorHAnsi" w:cs="Arial"/>
                <w:i/>
                <w:sz w:val="20"/>
                <w:szCs w:val="20"/>
                <w:highlight w:val="yellow"/>
                <w:u w:val="single"/>
                <w:lang w:val="en-US"/>
              </w:rPr>
              <w:t>LARN – ‘high’ post&gt;pre</w:t>
            </w:r>
          </w:p>
        </w:tc>
        <w:tc>
          <w:tcPr>
            <w:tcW w:w="992"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99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1559" w:type="dxa"/>
            <w:tcBorders>
              <w:top w:val="nil"/>
              <w:left w:val="nil"/>
              <w:bottom w:val="nil"/>
              <w:right w:val="nil"/>
            </w:tcBorders>
            <w:vAlign w:val="bottom"/>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orbitofrontal cortex</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9*</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-14</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16</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-16</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0.031</w:t>
            </w:r>
          </w:p>
        </w:tc>
      </w:tr>
      <w:tr w:rsidR="00A63361" w:rsidTr="00A63361">
        <w:tc>
          <w:tcPr>
            <w:tcW w:w="4077" w:type="dxa"/>
            <w:gridSpan w:val="2"/>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highlight w:val="yellow"/>
                <w:u w:val="single"/>
                <w:lang w:val="en-US"/>
              </w:rPr>
            </w:pPr>
            <w:r>
              <w:rPr>
                <w:rFonts w:asciiTheme="majorHAnsi" w:hAnsiTheme="majorHAnsi" w:cs="Arial"/>
                <w:i/>
                <w:sz w:val="20"/>
                <w:szCs w:val="20"/>
                <w:highlight w:val="yellow"/>
                <w:u w:val="single"/>
                <w:lang w:val="en-US"/>
              </w:rPr>
              <w:t>RARN – ‘high’ post&gt;pre</w:t>
            </w:r>
          </w:p>
        </w:tc>
        <w:tc>
          <w:tcPr>
            <w:tcW w:w="99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155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orbitofrontal cortex</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14</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-20</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0.084**</w:t>
            </w:r>
          </w:p>
        </w:tc>
      </w:tr>
      <w:tr w:rsidR="00A63361" w:rsidTr="00A63361">
        <w:tc>
          <w:tcPr>
            <w:tcW w:w="4077" w:type="dxa"/>
            <w:gridSpan w:val="2"/>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u w:val="single"/>
                <w:lang w:val="en-US"/>
              </w:rPr>
            </w:pPr>
            <w:r>
              <w:rPr>
                <w:rFonts w:asciiTheme="majorHAnsi" w:hAnsiTheme="majorHAnsi" w:cs="Arial"/>
                <w:i/>
                <w:sz w:val="20"/>
                <w:szCs w:val="20"/>
                <w:highlight w:val="yellow"/>
                <w:u w:val="single"/>
                <w:lang w:val="en-US"/>
              </w:rPr>
              <w:t>LFPN – ‘low’ post&gt;pre</w:t>
            </w:r>
          </w:p>
        </w:tc>
        <w:tc>
          <w:tcPr>
            <w:tcW w:w="99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lang w:val="en-US"/>
              </w:rPr>
            </w:pPr>
          </w:p>
        </w:tc>
        <w:tc>
          <w:tcPr>
            <w:tcW w:w="155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inferior parietal lobule</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-40</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-50</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46</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0.042</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sz w:val="20"/>
                <w:szCs w:val="20"/>
                <w:highlight w:val="yellow"/>
                <w:lang w:val="en-US"/>
              </w:rPr>
            </w:pPr>
            <w:r>
              <w:rPr>
                <w:rFonts w:asciiTheme="majorHAnsi" w:hAnsiTheme="majorHAnsi" w:cs="Arial"/>
                <w:i/>
                <w:sz w:val="20"/>
                <w:szCs w:val="20"/>
                <w:highlight w:val="yellow"/>
                <w:u w:val="single"/>
                <w:lang w:val="en-US"/>
              </w:rPr>
              <w:t>RFPN – ‘low’ post&gt;pre</w:t>
            </w:r>
          </w:p>
        </w:tc>
        <w:tc>
          <w:tcPr>
            <w:tcW w:w="992"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99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1559" w:type="dxa"/>
            <w:tcBorders>
              <w:top w:val="nil"/>
              <w:left w:val="nil"/>
              <w:bottom w:val="nil"/>
              <w:right w:val="nil"/>
            </w:tcBorders>
            <w:vAlign w:val="bottom"/>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middle frontal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496</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40</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48</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20</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0.004</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orbitofrontal cortex</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98</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38</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30</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-8</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0.032</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middle frontal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36</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16</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48</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0.018</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middle frontal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16</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36</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26</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50</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0.046</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superior frontal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28</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50</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0.045</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middle frontal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8*</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12</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42</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0.046</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middle frontal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34</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26</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42</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0.048</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frontal pole</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993"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36</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22</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0.048</w:t>
            </w:r>
          </w:p>
        </w:tc>
      </w:tr>
      <w:tr w:rsidR="00A63361" w:rsidTr="00A63361">
        <w:tc>
          <w:tcPr>
            <w:tcW w:w="4077" w:type="dxa"/>
            <w:gridSpan w:val="2"/>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highlight w:val="yellow"/>
                <w:u w:val="single"/>
                <w:lang w:val="en-US"/>
              </w:rPr>
            </w:pPr>
            <w:r>
              <w:rPr>
                <w:rFonts w:asciiTheme="majorHAnsi" w:hAnsiTheme="majorHAnsi" w:cs="Arial"/>
                <w:i/>
                <w:sz w:val="20"/>
                <w:szCs w:val="20"/>
                <w:highlight w:val="yellow"/>
                <w:u w:val="single"/>
                <w:lang w:val="en-US"/>
              </w:rPr>
              <w:t>SMN – ‘low’ post&gt;pre</w:t>
            </w:r>
          </w:p>
        </w:tc>
        <w:tc>
          <w:tcPr>
            <w:tcW w:w="99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155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r>
      <w:tr w:rsidR="00A63361" w:rsidTr="00A63361">
        <w:tc>
          <w:tcPr>
            <w:tcW w:w="3085"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roofErr w:type="spellStart"/>
            <w:r>
              <w:rPr>
                <w:rFonts w:asciiTheme="majorHAnsi" w:hAnsiTheme="majorHAnsi" w:cs="Arial"/>
                <w:sz w:val="20"/>
                <w:szCs w:val="20"/>
                <w:highlight w:val="yellow"/>
                <w:lang w:val="en-US"/>
              </w:rPr>
              <w:t>precentral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993"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162</w:t>
            </w:r>
          </w:p>
        </w:tc>
        <w:tc>
          <w:tcPr>
            <w:tcW w:w="850"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w:t>
            </w:r>
          </w:p>
        </w:tc>
        <w:tc>
          <w:tcPr>
            <w:tcW w:w="850"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-28</w:t>
            </w:r>
          </w:p>
        </w:tc>
        <w:tc>
          <w:tcPr>
            <w:tcW w:w="851"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62</w:t>
            </w:r>
          </w:p>
        </w:tc>
        <w:tc>
          <w:tcPr>
            <w:tcW w:w="1559" w:type="dxa"/>
            <w:tcBorders>
              <w:top w:val="nil"/>
              <w:left w:val="nil"/>
              <w:bottom w:val="single" w:sz="18" w:space="0" w:color="auto"/>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0.032</w:t>
            </w:r>
          </w:p>
        </w:tc>
      </w:tr>
    </w:tbl>
    <w:p w:rsidR="00A63361" w:rsidRDefault="00A63361" w:rsidP="00A63361">
      <w:pPr>
        <w:jc w:val="both"/>
        <w:rPr>
          <w:rFonts w:asciiTheme="majorHAnsi" w:hAnsiTheme="majorHAnsi"/>
          <w:sz w:val="18"/>
          <w:szCs w:val="20"/>
          <w:lang w:val="en-US"/>
        </w:rPr>
      </w:pPr>
      <w:r>
        <w:rPr>
          <w:rFonts w:asciiTheme="majorHAnsi" w:hAnsiTheme="majorHAnsi" w:cs="Arial"/>
          <w:b/>
          <w:sz w:val="18"/>
          <w:szCs w:val="20"/>
          <w:highlight w:val="yellow"/>
          <w:lang w:val="en-US"/>
        </w:rPr>
        <w:t xml:space="preserve">Table S4: Brain regions observed significantly different between pre and post within each exercise condition in our analysis after implementing nuisance regression (WM and CSF). </w:t>
      </w:r>
      <w:r>
        <w:rPr>
          <w:rFonts w:asciiTheme="majorHAnsi" w:hAnsiTheme="majorHAnsi" w:cs="Arial"/>
          <w:sz w:val="18"/>
          <w:szCs w:val="20"/>
          <w:highlight w:val="yellow"/>
          <w:lang w:val="en-US"/>
        </w:rPr>
        <w:t>Coordinates presented are in MNI space; k = cluster size; N = 22; *small cluster size, needs to be treated with caution; ** represents a trend.</w:t>
      </w:r>
    </w:p>
    <w:p w:rsidR="00A63361" w:rsidRDefault="00A63361" w:rsidP="00A63361">
      <w:pPr>
        <w:rPr>
          <w:rFonts w:asciiTheme="majorHAnsi" w:hAnsiTheme="majorHAnsi"/>
          <w:sz w:val="20"/>
          <w:szCs w:val="20"/>
          <w:lang w:val="en-US"/>
        </w:rPr>
      </w:pPr>
      <w:r>
        <w:rPr>
          <w:rFonts w:asciiTheme="majorHAnsi" w:hAnsiTheme="majorHAnsi"/>
          <w:sz w:val="20"/>
          <w:szCs w:val="20"/>
          <w:lang w:val="en-US"/>
        </w:rPr>
        <w:br w:type="page"/>
      </w:r>
    </w:p>
    <w:p w:rsidR="00A63361" w:rsidRDefault="00A63361" w:rsidP="00A63361">
      <w:pPr>
        <w:spacing w:line="480" w:lineRule="auto"/>
        <w:jc w:val="both"/>
        <w:rPr>
          <w:rFonts w:asciiTheme="majorHAnsi" w:hAnsiTheme="majorHAnsi"/>
          <w:b/>
          <w:sz w:val="20"/>
          <w:szCs w:val="20"/>
          <w:lang w:val="en-US"/>
        </w:rPr>
      </w:pPr>
      <w:r>
        <w:rPr>
          <w:rFonts w:asciiTheme="majorHAnsi" w:hAnsiTheme="majorHAnsi"/>
          <w:b/>
          <w:sz w:val="20"/>
          <w:szCs w:val="20"/>
          <w:highlight w:val="yellow"/>
          <w:lang w:val="en-US"/>
        </w:rPr>
        <w:lastRenderedPageBreak/>
        <w:t>Subgroup analysis after implementing nuisance regression (WM and CSF) and including HR as covariate of no interest</w:t>
      </w:r>
      <w:r>
        <w:rPr>
          <w:rFonts w:asciiTheme="majorHAnsi" w:hAnsiTheme="majorHAnsi"/>
          <w:b/>
          <w:sz w:val="20"/>
          <w:szCs w:val="20"/>
          <w:lang w:val="en-US"/>
        </w:rPr>
        <w:t xml:space="preserve"> </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Analogue to the analysis without nuisance regression we needed to exclude some of our subjects when additionally including HR as covariate of no interest. Due to artifacts in recording HR (heart rate) during the resting state functional magnetic resonance imaging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-fMRI) scan, we needed to exclude N=4 subjects for investigating the interaction effects between time (pre and post) and condition (‘low’ and ‘high’), and N=2 subjects for each exercise intervention resulting in a sample size of N=20 to compare pre to post ‘low’ exercise intensity and pre to post ‘high’ exercise intensity.</w:t>
      </w:r>
      <w:r>
        <w:rPr>
          <w:rFonts w:asciiTheme="majorHAnsi" w:hAnsiTheme="majorHAnsi" w:cs="Arial"/>
          <w:sz w:val="20"/>
          <w:szCs w:val="20"/>
          <w:lang w:val="en-US"/>
        </w:rPr>
        <w:t xml:space="preserve"> </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u w:val="single"/>
          <w:lang w:val="en-US"/>
        </w:rPr>
      </w:pPr>
      <w:r>
        <w:rPr>
          <w:rFonts w:asciiTheme="majorHAnsi" w:hAnsiTheme="majorHAnsi" w:cs="Arial"/>
          <w:sz w:val="20"/>
          <w:szCs w:val="20"/>
          <w:highlight w:val="yellow"/>
          <w:u w:val="single"/>
          <w:lang w:val="en-US"/>
        </w:rPr>
        <w:t>Right Affect and Reward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 xml:space="preserve">In the RARN we found no significant time x condition interaction in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-FC anymore. However, we could detect a trend in the insula, ACC/</w:t>
      </w:r>
      <w:proofErr w:type="spellStart"/>
      <w:r>
        <w:rPr>
          <w:rFonts w:asciiTheme="majorHAnsi" w:hAnsiTheme="majorHAnsi" w:cs="Arial"/>
          <w:sz w:val="20"/>
          <w:szCs w:val="20"/>
          <w:highlight w:val="yellow"/>
          <w:lang w:val="en-US"/>
        </w:rPr>
        <w:t>paracingulate</w:t>
      </w:r>
      <w:proofErr w:type="spellEnd"/>
      <w:r>
        <w:rPr>
          <w:rFonts w:asciiTheme="majorHAnsi" w:hAnsiTheme="majorHAnsi" w:cs="Arial"/>
          <w:sz w:val="20"/>
          <w:szCs w:val="20"/>
          <w:highlight w:val="yellow"/>
          <w:lang w:val="en-US"/>
        </w:rPr>
        <w:t xml:space="preserve"> cortex and OFC from pre to post ‘high’ exercise intensity (</w:t>
      </w:r>
      <w:r>
        <w:rPr>
          <w:rFonts w:asciiTheme="majorHAnsi" w:hAnsiTheme="majorHAnsi" w:cs="Arial"/>
          <w:b/>
          <w:sz w:val="20"/>
          <w:szCs w:val="20"/>
          <w:highlight w:val="yellow"/>
          <w:lang w:val="en-US"/>
        </w:rPr>
        <w:t>Figure S6-C, Table S6</w:t>
      </w:r>
      <w:r>
        <w:rPr>
          <w:rFonts w:asciiTheme="majorHAnsi" w:hAnsiTheme="majorHAnsi" w:cs="Arial"/>
          <w:sz w:val="20"/>
          <w:szCs w:val="20"/>
          <w:highlight w:val="yellow"/>
          <w:lang w:val="en-US"/>
        </w:rPr>
        <w:t>).</w:t>
      </w:r>
      <w:r>
        <w:rPr>
          <w:rFonts w:asciiTheme="majorHAnsi" w:hAnsiTheme="majorHAnsi" w:cs="Arial"/>
          <w:sz w:val="20"/>
          <w:szCs w:val="20"/>
          <w:lang w:val="en-US"/>
        </w:rPr>
        <w:t xml:space="preserve"> </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r>
        <w:rPr>
          <w:rFonts w:asciiTheme="majorHAnsi" w:hAnsiTheme="majorHAnsi" w:cs="Arial"/>
          <w:sz w:val="20"/>
          <w:szCs w:val="20"/>
          <w:highlight w:val="yellow"/>
          <w:u w:val="single"/>
          <w:lang w:val="en-US"/>
        </w:rPr>
        <w:t xml:space="preserve">Right </w:t>
      </w:r>
      <w:proofErr w:type="spellStart"/>
      <w:r>
        <w:rPr>
          <w:rFonts w:asciiTheme="majorHAnsi" w:hAnsiTheme="majorHAnsi" w:cs="Arial"/>
          <w:sz w:val="20"/>
          <w:szCs w:val="20"/>
          <w:highlight w:val="yellow"/>
          <w:u w:val="single"/>
          <w:lang w:val="en-US"/>
        </w:rPr>
        <w:t>Fronto</w:t>
      </w:r>
      <w:proofErr w:type="spellEnd"/>
      <w:r>
        <w:rPr>
          <w:rFonts w:asciiTheme="majorHAnsi" w:hAnsiTheme="majorHAnsi" w:cs="Arial"/>
          <w:sz w:val="20"/>
          <w:szCs w:val="20"/>
          <w:highlight w:val="yellow"/>
          <w:u w:val="single"/>
          <w:lang w:val="en-US"/>
        </w:rPr>
        <w:t xml:space="preserve"> Parietal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 xml:space="preserve">Results of the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-FC analysis in the RFPN indicated a significant time x condition interaction in the right MFG (</w:t>
      </w:r>
      <w:r>
        <w:rPr>
          <w:rFonts w:asciiTheme="majorHAnsi" w:hAnsiTheme="majorHAnsi" w:cs="Arial"/>
          <w:b/>
          <w:sz w:val="20"/>
          <w:szCs w:val="20"/>
          <w:highlight w:val="yellow"/>
          <w:lang w:val="en-US"/>
        </w:rPr>
        <w:t>Figure S5-A, Table S5</w:t>
      </w:r>
      <w:r>
        <w:rPr>
          <w:rFonts w:asciiTheme="majorHAnsi" w:hAnsiTheme="majorHAnsi" w:cs="Arial"/>
          <w:sz w:val="20"/>
          <w:szCs w:val="20"/>
          <w:highlight w:val="yellow"/>
          <w:lang w:val="en-US"/>
        </w:rPr>
        <w:t>), driven by a significant increase in FC after ‘low’ exercise intensity in the right MFG, SFG and the left cerebellar crus 1, but also an increase after the ‘high’-intensity condition in the inferior parietal lobule (IPL) (</w:t>
      </w:r>
      <w:r>
        <w:rPr>
          <w:rFonts w:asciiTheme="majorHAnsi" w:hAnsiTheme="majorHAnsi" w:cs="Arial"/>
          <w:b/>
          <w:sz w:val="20"/>
          <w:szCs w:val="20"/>
          <w:highlight w:val="yellow"/>
          <w:lang w:val="en-US"/>
        </w:rPr>
        <w:t>Figure S6-D, Table S6</w:t>
      </w:r>
      <w:r>
        <w:rPr>
          <w:rFonts w:asciiTheme="majorHAnsi" w:hAnsiTheme="majorHAnsi" w:cs="Arial"/>
          <w:sz w:val="20"/>
          <w:szCs w:val="20"/>
          <w:highlight w:val="yellow"/>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u w:val="single"/>
          <w:lang w:val="en-US"/>
        </w:rPr>
      </w:pPr>
      <w:r>
        <w:rPr>
          <w:rFonts w:asciiTheme="majorHAnsi" w:hAnsiTheme="majorHAnsi" w:cs="Arial"/>
          <w:sz w:val="20"/>
          <w:szCs w:val="20"/>
          <w:highlight w:val="yellow"/>
          <w:u w:val="single"/>
          <w:lang w:val="en-US"/>
        </w:rPr>
        <w:t xml:space="preserve">Sensorimotor Network </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 xml:space="preserve">The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 xml:space="preserve">-FC analysis in the SMN revealed a significant time x condition interaction in the </w:t>
      </w:r>
      <w:proofErr w:type="spellStart"/>
      <w:r>
        <w:rPr>
          <w:rFonts w:asciiTheme="majorHAnsi" w:hAnsiTheme="majorHAnsi" w:cs="Arial"/>
          <w:sz w:val="20"/>
          <w:szCs w:val="20"/>
          <w:highlight w:val="yellow"/>
          <w:lang w:val="en-US"/>
        </w:rPr>
        <w:t>postcentral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precentral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and </w:t>
      </w:r>
      <w:proofErr w:type="spellStart"/>
      <w:r>
        <w:rPr>
          <w:rFonts w:asciiTheme="majorHAnsi" w:hAnsiTheme="majorHAnsi" w:cs="Arial"/>
          <w:sz w:val="20"/>
          <w:szCs w:val="20"/>
          <w:highlight w:val="yellow"/>
          <w:lang w:val="en-US"/>
        </w:rPr>
        <w:t>precuneus</w:t>
      </w:r>
      <w:proofErr w:type="spellEnd"/>
      <w:r>
        <w:rPr>
          <w:rFonts w:asciiTheme="majorHAnsi" w:hAnsiTheme="majorHAnsi" w:cs="Arial"/>
          <w:sz w:val="20"/>
          <w:szCs w:val="20"/>
          <w:highlight w:val="yellow"/>
          <w:lang w:val="en-US"/>
        </w:rPr>
        <w:t xml:space="preserve"> (</w:t>
      </w:r>
      <w:r>
        <w:rPr>
          <w:rFonts w:asciiTheme="majorHAnsi" w:hAnsiTheme="majorHAnsi" w:cs="Arial"/>
          <w:b/>
          <w:sz w:val="20"/>
          <w:szCs w:val="20"/>
          <w:highlight w:val="yellow"/>
          <w:lang w:val="en-US"/>
        </w:rPr>
        <w:t>Figure S5-B, Table S5</w:t>
      </w:r>
      <w:r>
        <w:rPr>
          <w:rFonts w:asciiTheme="majorHAnsi" w:hAnsiTheme="majorHAnsi" w:cs="Arial"/>
          <w:sz w:val="20"/>
          <w:szCs w:val="20"/>
          <w:highlight w:val="yellow"/>
          <w:lang w:val="en-US"/>
        </w:rPr>
        <w:t xml:space="preserve">). Comparing pre versus post ‘high’ exercise condition showed a significant decrease in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 xml:space="preserve">-FC in the </w:t>
      </w:r>
      <w:proofErr w:type="spellStart"/>
      <w:r>
        <w:rPr>
          <w:rFonts w:asciiTheme="majorHAnsi" w:hAnsiTheme="majorHAnsi" w:cs="Arial"/>
          <w:sz w:val="20"/>
          <w:szCs w:val="20"/>
          <w:highlight w:val="yellow"/>
          <w:lang w:val="en-US"/>
        </w:rPr>
        <w:t>ppstcentral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w:t>
      </w:r>
      <w:r>
        <w:rPr>
          <w:rFonts w:asciiTheme="majorHAnsi" w:hAnsiTheme="majorHAnsi" w:cs="Arial"/>
          <w:b/>
          <w:sz w:val="20"/>
          <w:szCs w:val="20"/>
          <w:highlight w:val="yellow"/>
          <w:lang w:val="en-US"/>
        </w:rPr>
        <w:t>Figure S6-F, Table S6</w:t>
      </w:r>
      <w:r>
        <w:rPr>
          <w:rFonts w:asciiTheme="majorHAnsi" w:hAnsiTheme="majorHAnsi" w:cs="Arial"/>
          <w:sz w:val="20"/>
          <w:szCs w:val="20"/>
          <w:highlight w:val="yellow"/>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rPr>
          <w:rFonts w:asciiTheme="majorHAnsi" w:hAnsiTheme="majorHAnsi" w:cs="Arial"/>
          <w:sz w:val="20"/>
          <w:szCs w:val="20"/>
          <w:lang w:val="en-US"/>
        </w:rPr>
      </w:pPr>
      <w:r>
        <w:rPr>
          <w:rFonts w:asciiTheme="majorHAnsi" w:hAnsiTheme="majorHAnsi" w:cs="Arial"/>
          <w:noProof/>
          <w:sz w:val="20"/>
          <w:szCs w:val="20"/>
          <w:lang w:val="en-US" w:eastAsia="en-US"/>
        </w:rPr>
        <w:lastRenderedPageBreak/>
        <w:drawing>
          <wp:inline distT="0" distB="0" distL="0" distR="0">
            <wp:extent cx="5752465" cy="284861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2848610"/>
                    </a:xfrm>
                    <a:prstGeom prst="rect">
                      <a:avLst/>
                    </a:prstGeom>
                    <a:noFill/>
                    <a:ln>
                      <a:noFill/>
                    </a:ln>
                  </pic:spPr>
                </pic:pic>
              </a:graphicData>
            </a:graphic>
          </wp:inline>
        </w:drawing>
      </w:r>
    </w:p>
    <w:p w:rsidR="00A63361" w:rsidRDefault="00A63361" w:rsidP="00A63361">
      <w:pPr>
        <w:jc w:val="both"/>
        <w:rPr>
          <w:rFonts w:asciiTheme="majorHAnsi" w:hAnsiTheme="majorHAnsi"/>
          <w:sz w:val="18"/>
          <w:szCs w:val="20"/>
          <w:lang w:val="en-US"/>
        </w:rPr>
      </w:pPr>
      <w:r>
        <w:rPr>
          <w:rFonts w:asciiTheme="majorHAnsi" w:hAnsiTheme="majorHAnsi" w:cstheme="majorHAnsi"/>
          <w:b/>
          <w:sz w:val="18"/>
          <w:szCs w:val="20"/>
          <w:highlight w:val="yellow"/>
          <w:lang w:val="en-US"/>
        </w:rPr>
        <w:t xml:space="preserve">Figure S5: FC changes </w:t>
      </w:r>
      <w:r>
        <w:rPr>
          <w:rFonts w:asciiTheme="majorHAnsi" w:hAnsiTheme="majorHAnsi" w:cs="Arial"/>
          <w:b/>
          <w:sz w:val="18"/>
          <w:szCs w:val="20"/>
          <w:highlight w:val="yellow"/>
          <w:lang w:val="en-US"/>
        </w:rPr>
        <w:t xml:space="preserve">observed significantly different between conditions (‘low’ and ‘high’ intensity) when including HR as covariate of no interest in our analyses after implementing nuisance regression (WM and CSF). </w:t>
      </w:r>
      <w:r>
        <w:rPr>
          <w:rFonts w:asciiTheme="majorHAnsi" w:hAnsiTheme="majorHAnsi" w:cstheme="majorHAnsi"/>
          <w:sz w:val="18"/>
          <w:szCs w:val="20"/>
          <w:highlight w:val="yellow"/>
          <w:lang w:val="en-US"/>
        </w:rPr>
        <w:t xml:space="preserve">Significant clusters in the interaction of the: A) RFPN in the right middle frontal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(MFG); B) SMN in the right </w:t>
      </w:r>
      <w:proofErr w:type="spellStart"/>
      <w:r>
        <w:rPr>
          <w:rFonts w:asciiTheme="majorHAnsi" w:hAnsiTheme="majorHAnsi" w:cstheme="majorHAnsi"/>
          <w:sz w:val="18"/>
          <w:szCs w:val="20"/>
          <w:highlight w:val="yellow"/>
          <w:lang w:val="en-US"/>
        </w:rPr>
        <w:t>postcentral</w:t>
      </w:r>
      <w:proofErr w:type="spellEnd"/>
      <w:r>
        <w:rPr>
          <w:rFonts w:asciiTheme="majorHAnsi" w:hAnsiTheme="majorHAnsi" w:cstheme="majorHAnsi"/>
          <w:sz w:val="18"/>
          <w:szCs w:val="20"/>
          <w:highlight w:val="yellow"/>
          <w:lang w:val="en-US"/>
        </w:rPr>
        <w:t xml:space="preserve">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w:t>
      </w:r>
      <w:proofErr w:type="spellStart"/>
      <w:r>
        <w:rPr>
          <w:rFonts w:asciiTheme="majorHAnsi" w:hAnsiTheme="majorHAnsi" w:cstheme="majorHAnsi"/>
          <w:sz w:val="18"/>
          <w:szCs w:val="20"/>
          <w:highlight w:val="yellow"/>
          <w:lang w:val="en-US"/>
        </w:rPr>
        <w:t>precentral</w:t>
      </w:r>
      <w:proofErr w:type="spellEnd"/>
      <w:r>
        <w:rPr>
          <w:rFonts w:asciiTheme="majorHAnsi" w:hAnsiTheme="majorHAnsi" w:cstheme="majorHAnsi"/>
          <w:sz w:val="18"/>
          <w:szCs w:val="20"/>
          <w:highlight w:val="yellow"/>
          <w:lang w:val="en-US"/>
        </w:rPr>
        <w:t xml:space="preserve">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and </w:t>
      </w:r>
      <w:proofErr w:type="spellStart"/>
      <w:r>
        <w:rPr>
          <w:rFonts w:asciiTheme="majorHAnsi" w:hAnsiTheme="majorHAnsi" w:cstheme="majorHAnsi"/>
          <w:sz w:val="18"/>
          <w:szCs w:val="20"/>
          <w:highlight w:val="yellow"/>
          <w:lang w:val="en-US"/>
        </w:rPr>
        <w:t>precuneus</w:t>
      </w:r>
      <w:proofErr w:type="spellEnd"/>
      <w:r>
        <w:rPr>
          <w:rFonts w:asciiTheme="majorHAnsi" w:hAnsiTheme="majorHAnsi" w:cstheme="majorHAnsi"/>
          <w:sz w:val="18"/>
          <w:szCs w:val="20"/>
          <w:highlight w:val="yellow"/>
          <w:lang w:val="en-US"/>
        </w:rPr>
        <w:t xml:space="preserve">; data shown is corrected for p&lt;0.05, after multiple comparison correction using TFCE approach; z-values were standardized by dividing them by the SD; The colors of clusters do not indicate increases or decreases; N=18; </w:t>
      </w:r>
      <w:r>
        <w:rPr>
          <w:rFonts w:asciiTheme="majorHAnsi" w:hAnsiTheme="majorHAnsi" w:cs="Arial"/>
          <w:sz w:val="18"/>
          <w:szCs w:val="20"/>
          <w:highlight w:val="yellow"/>
          <w:lang w:val="en-US"/>
        </w:rPr>
        <w:t>R = right; L = left</w:t>
      </w:r>
      <w:r>
        <w:rPr>
          <w:rFonts w:asciiTheme="majorHAnsi" w:hAnsiTheme="majorHAnsi" w:cstheme="majorHAnsi"/>
          <w:sz w:val="18"/>
          <w:szCs w:val="20"/>
          <w:highlight w:val="yellow"/>
          <w:lang w:val="en-US"/>
        </w:rPr>
        <w:t>.</w:t>
      </w:r>
    </w:p>
    <w:p w:rsidR="00A63361" w:rsidRDefault="00A63361" w:rsidP="00A63361">
      <w:pPr>
        <w:rPr>
          <w:rFonts w:asciiTheme="majorHAnsi" w:hAnsiTheme="majorHAnsi" w:cs="Arial"/>
          <w:b/>
          <w:sz w:val="20"/>
          <w:szCs w:val="20"/>
          <w:lang w:val="en-US"/>
        </w:rPr>
      </w:pPr>
    </w:p>
    <w:tbl>
      <w:tblPr>
        <w:tblStyle w:val="TableGrid"/>
        <w:tblW w:w="9150" w:type="dxa"/>
        <w:tblInd w:w="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1"/>
        <w:gridCol w:w="930"/>
        <w:gridCol w:w="1084"/>
        <w:gridCol w:w="679"/>
        <w:gridCol w:w="679"/>
        <w:gridCol w:w="723"/>
        <w:gridCol w:w="1524"/>
      </w:tblGrid>
      <w:tr w:rsidR="00A63361" w:rsidTr="00A63361">
        <w:trPr>
          <w:trHeight w:hRule="exact" w:val="379"/>
        </w:trPr>
        <w:tc>
          <w:tcPr>
            <w:tcW w:w="3528"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lang w:val="en-US"/>
              </w:rPr>
            </w:pPr>
            <w:r>
              <w:rPr>
                <w:rFonts w:asciiTheme="majorHAnsi" w:hAnsiTheme="majorHAnsi" w:cs="Arial"/>
                <w:b/>
                <w:sz w:val="20"/>
                <w:szCs w:val="20"/>
                <w:lang w:val="en-US"/>
              </w:rPr>
              <w:t>brain region</w:t>
            </w:r>
          </w:p>
        </w:tc>
        <w:tc>
          <w:tcPr>
            <w:tcW w:w="92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lang w:val="en-US"/>
              </w:rPr>
            </w:pPr>
            <w:r>
              <w:rPr>
                <w:rFonts w:asciiTheme="majorHAnsi" w:hAnsiTheme="majorHAnsi" w:cs="Arial"/>
                <w:b/>
                <w:sz w:val="20"/>
                <w:szCs w:val="20"/>
                <w:lang w:val="en-US"/>
              </w:rPr>
              <w:t>side</w:t>
            </w:r>
          </w:p>
        </w:tc>
        <w:tc>
          <w:tcPr>
            <w:tcW w:w="1083"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lang w:val="en-US"/>
              </w:rPr>
            </w:pPr>
            <w:r>
              <w:rPr>
                <w:rFonts w:asciiTheme="majorHAnsi" w:hAnsiTheme="majorHAnsi" w:cs="Arial"/>
                <w:b/>
                <w:sz w:val="20"/>
                <w:szCs w:val="20"/>
                <w:lang w:val="en-US"/>
              </w:rPr>
              <w:t>k</w:t>
            </w:r>
          </w:p>
        </w:tc>
        <w:tc>
          <w:tcPr>
            <w:tcW w:w="67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lang w:val="en-US"/>
              </w:rPr>
            </w:pPr>
            <w:r>
              <w:rPr>
                <w:rFonts w:asciiTheme="majorHAnsi" w:hAnsiTheme="majorHAnsi" w:cs="Arial"/>
                <w:b/>
                <w:sz w:val="20"/>
                <w:szCs w:val="20"/>
                <w:lang w:val="en-US"/>
              </w:rPr>
              <w:t>x</w:t>
            </w:r>
          </w:p>
        </w:tc>
        <w:tc>
          <w:tcPr>
            <w:tcW w:w="67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lang w:val="en-US"/>
              </w:rPr>
            </w:pPr>
            <w:r>
              <w:rPr>
                <w:rFonts w:asciiTheme="majorHAnsi" w:hAnsiTheme="majorHAnsi" w:cs="Arial"/>
                <w:b/>
                <w:sz w:val="20"/>
                <w:szCs w:val="20"/>
                <w:lang w:val="en-US"/>
              </w:rPr>
              <w:t>y</w:t>
            </w:r>
          </w:p>
        </w:tc>
        <w:tc>
          <w:tcPr>
            <w:tcW w:w="723"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lang w:val="en-US"/>
              </w:rPr>
            </w:pPr>
            <w:r>
              <w:rPr>
                <w:rFonts w:asciiTheme="majorHAnsi" w:hAnsiTheme="majorHAnsi" w:cs="Arial"/>
                <w:b/>
                <w:sz w:val="20"/>
                <w:szCs w:val="20"/>
                <w:lang w:val="en-US"/>
              </w:rPr>
              <w:t>z</w:t>
            </w:r>
          </w:p>
        </w:tc>
        <w:tc>
          <w:tcPr>
            <w:tcW w:w="1523"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b/>
                <w:sz w:val="20"/>
                <w:szCs w:val="20"/>
                <w:lang w:val="en-US"/>
              </w:rPr>
            </w:pPr>
            <w:r>
              <w:rPr>
                <w:rFonts w:asciiTheme="majorHAnsi" w:hAnsiTheme="majorHAnsi" w:cs="Arial"/>
                <w:b/>
                <w:sz w:val="20"/>
                <w:szCs w:val="20"/>
                <w:lang w:val="en-US"/>
              </w:rPr>
              <w:t>p-value (</w:t>
            </w:r>
            <w:proofErr w:type="spellStart"/>
            <w:r>
              <w:rPr>
                <w:rFonts w:asciiTheme="majorHAnsi" w:hAnsiTheme="majorHAnsi" w:cs="Arial"/>
                <w:b/>
                <w:sz w:val="20"/>
                <w:szCs w:val="20"/>
                <w:lang w:val="en-US"/>
              </w:rPr>
              <w:t>tfce</w:t>
            </w:r>
            <w:proofErr w:type="spellEnd"/>
            <w:r>
              <w:rPr>
                <w:rFonts w:asciiTheme="majorHAnsi" w:hAnsiTheme="majorHAnsi" w:cs="Arial"/>
                <w:b/>
                <w:sz w:val="20"/>
                <w:szCs w:val="20"/>
                <w:lang w:val="en-US"/>
              </w:rPr>
              <w:t>)</w:t>
            </w:r>
          </w:p>
        </w:tc>
      </w:tr>
      <w:tr w:rsidR="00A63361" w:rsidTr="00A63361">
        <w:trPr>
          <w:trHeight w:val="711"/>
        </w:trPr>
        <w:tc>
          <w:tcPr>
            <w:tcW w:w="4457" w:type="dxa"/>
            <w:gridSpan w:val="2"/>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highlight w:val="yellow"/>
                <w:u w:val="single"/>
                <w:lang w:val="en-US"/>
              </w:rPr>
            </w:pPr>
            <w:r>
              <w:rPr>
                <w:rFonts w:asciiTheme="majorHAnsi" w:hAnsiTheme="majorHAnsi" w:cs="Arial"/>
                <w:i/>
                <w:sz w:val="20"/>
                <w:szCs w:val="20"/>
                <w:highlight w:val="yellow"/>
                <w:u w:val="single"/>
                <w:lang w:val="en-US"/>
              </w:rPr>
              <w:t>RFPN  - ‘low’ &gt; ‘high’</w:t>
            </w:r>
          </w:p>
        </w:tc>
        <w:tc>
          <w:tcPr>
            <w:tcW w:w="108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72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152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middle frontal </w:t>
            </w:r>
            <w:proofErr w:type="spellStart"/>
            <w:r>
              <w:rPr>
                <w:rFonts w:asciiTheme="majorHAnsi" w:hAnsiTheme="majorHAnsi" w:cs="Arial"/>
                <w:sz w:val="20"/>
                <w:szCs w:val="20"/>
                <w:highlight w:val="yellow"/>
                <w:lang w:val="en-US"/>
              </w:rPr>
              <w:t>gyrus</w:t>
            </w:r>
            <w:proofErr w:type="spellEnd"/>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40</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8</w:t>
            </w:r>
          </w:p>
        </w:tc>
        <w:tc>
          <w:tcPr>
            <w:tcW w:w="72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56</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0.038</w:t>
            </w:r>
          </w:p>
        </w:tc>
      </w:tr>
      <w:tr w:rsidR="00A63361" w:rsidTr="00A63361">
        <w:trPr>
          <w:trHeight w:val="711"/>
        </w:trPr>
        <w:tc>
          <w:tcPr>
            <w:tcW w:w="4457" w:type="dxa"/>
            <w:gridSpan w:val="2"/>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highlight w:val="yellow"/>
                <w:u w:val="single"/>
                <w:lang w:val="en-US"/>
              </w:rPr>
            </w:pPr>
            <w:r>
              <w:rPr>
                <w:rFonts w:asciiTheme="majorHAnsi" w:hAnsiTheme="majorHAnsi" w:cs="Arial"/>
                <w:i/>
                <w:sz w:val="20"/>
                <w:szCs w:val="20"/>
                <w:highlight w:val="yellow"/>
                <w:u w:val="single"/>
                <w:lang w:val="en-US"/>
              </w:rPr>
              <w:t>SMN  - ‘low’ &gt; ‘high’</w:t>
            </w:r>
          </w:p>
        </w:tc>
        <w:tc>
          <w:tcPr>
            <w:tcW w:w="108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679"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72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1523"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roofErr w:type="spellStart"/>
            <w:r>
              <w:rPr>
                <w:rFonts w:asciiTheme="majorHAnsi" w:hAnsiTheme="majorHAnsi" w:cs="Arial"/>
                <w:sz w:val="20"/>
                <w:szCs w:val="20"/>
                <w:highlight w:val="yellow"/>
                <w:lang w:val="en-US"/>
              </w:rPr>
              <w:t>postcentral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49</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36</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-30</w:t>
            </w:r>
          </w:p>
        </w:tc>
        <w:tc>
          <w:tcPr>
            <w:tcW w:w="72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64</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0.036</w:t>
            </w: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roofErr w:type="spellStart"/>
            <w:r>
              <w:rPr>
                <w:rFonts w:asciiTheme="majorHAnsi" w:hAnsiTheme="majorHAnsi" w:cs="Arial"/>
                <w:sz w:val="20"/>
                <w:szCs w:val="20"/>
                <w:highlight w:val="yellow"/>
                <w:lang w:val="en-US"/>
              </w:rPr>
              <w:t>precentral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7*</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10</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-18</w:t>
            </w:r>
          </w:p>
        </w:tc>
        <w:tc>
          <w:tcPr>
            <w:tcW w:w="72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64</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0.030</w:t>
            </w:r>
          </w:p>
        </w:tc>
      </w:tr>
      <w:tr w:rsidR="00A63361" w:rsidTr="00A63361">
        <w:trPr>
          <w:trHeight w:val="475"/>
        </w:trPr>
        <w:tc>
          <w:tcPr>
            <w:tcW w:w="3528"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roofErr w:type="spellStart"/>
            <w:r>
              <w:rPr>
                <w:rFonts w:asciiTheme="majorHAnsi" w:hAnsiTheme="majorHAnsi" w:cs="Arial"/>
                <w:sz w:val="20"/>
                <w:szCs w:val="20"/>
                <w:highlight w:val="yellow"/>
                <w:lang w:val="en-US"/>
              </w:rPr>
              <w:t>precentral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w:t>
            </w:r>
          </w:p>
        </w:tc>
        <w:tc>
          <w:tcPr>
            <w:tcW w:w="92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108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18</w:t>
            </w:r>
          </w:p>
        </w:tc>
        <w:tc>
          <w:tcPr>
            <w:tcW w:w="679"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-16</w:t>
            </w:r>
          </w:p>
        </w:tc>
        <w:tc>
          <w:tcPr>
            <w:tcW w:w="723"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64</w:t>
            </w:r>
          </w:p>
        </w:tc>
        <w:tc>
          <w:tcPr>
            <w:tcW w:w="1523"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0.038</w:t>
            </w:r>
          </w:p>
        </w:tc>
      </w:tr>
      <w:tr w:rsidR="00A63361" w:rsidTr="00A63361">
        <w:trPr>
          <w:trHeight w:val="475"/>
        </w:trPr>
        <w:tc>
          <w:tcPr>
            <w:tcW w:w="3528"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roofErr w:type="spellStart"/>
            <w:r>
              <w:rPr>
                <w:rFonts w:asciiTheme="majorHAnsi" w:hAnsiTheme="majorHAnsi" w:cs="Arial"/>
                <w:sz w:val="20"/>
                <w:szCs w:val="20"/>
                <w:highlight w:val="yellow"/>
                <w:lang w:val="en-US"/>
              </w:rPr>
              <w:t>precuneus</w:t>
            </w:r>
            <w:proofErr w:type="spellEnd"/>
          </w:p>
        </w:tc>
        <w:tc>
          <w:tcPr>
            <w:tcW w:w="929" w:type="dxa"/>
            <w:tcBorders>
              <w:top w:val="nil"/>
              <w:left w:val="nil"/>
              <w:bottom w:val="single" w:sz="18" w:space="0" w:color="auto"/>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1083"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w:t>
            </w:r>
          </w:p>
        </w:tc>
        <w:tc>
          <w:tcPr>
            <w:tcW w:w="679"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w:t>
            </w:r>
          </w:p>
        </w:tc>
        <w:tc>
          <w:tcPr>
            <w:tcW w:w="679"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-40</w:t>
            </w:r>
          </w:p>
        </w:tc>
        <w:tc>
          <w:tcPr>
            <w:tcW w:w="723"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56</w:t>
            </w:r>
          </w:p>
        </w:tc>
        <w:tc>
          <w:tcPr>
            <w:tcW w:w="1523" w:type="dxa"/>
            <w:tcBorders>
              <w:top w:val="nil"/>
              <w:left w:val="nil"/>
              <w:bottom w:val="single" w:sz="18" w:space="0" w:color="auto"/>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0.048</w:t>
            </w:r>
          </w:p>
        </w:tc>
      </w:tr>
    </w:tbl>
    <w:p w:rsidR="00A63361" w:rsidRDefault="00A63361" w:rsidP="00A63361">
      <w:pPr>
        <w:widowControl w:val="0"/>
        <w:autoSpaceDE w:val="0"/>
        <w:autoSpaceDN w:val="0"/>
        <w:adjustRightInd w:val="0"/>
        <w:jc w:val="both"/>
        <w:rPr>
          <w:sz w:val="18"/>
          <w:szCs w:val="20"/>
          <w:lang w:val="en-US"/>
        </w:rPr>
      </w:pPr>
      <w:r>
        <w:rPr>
          <w:rFonts w:asciiTheme="majorHAnsi" w:hAnsiTheme="majorHAnsi" w:cs="Arial"/>
          <w:b/>
          <w:sz w:val="18"/>
          <w:szCs w:val="20"/>
          <w:highlight w:val="yellow"/>
          <w:lang w:val="en-US"/>
        </w:rPr>
        <w:t xml:space="preserve">Table S5: Brain regions observed significantly different between conditions (‘low’ and ‘high’ intensity) when including HR as covariate of no interest in our analyses after implementing nuisance regression (WM and CSF). </w:t>
      </w:r>
      <w:r>
        <w:rPr>
          <w:rFonts w:asciiTheme="majorHAnsi" w:hAnsiTheme="majorHAnsi" w:cs="Arial"/>
          <w:sz w:val="18"/>
          <w:szCs w:val="20"/>
          <w:highlight w:val="yellow"/>
          <w:lang w:val="en-US"/>
        </w:rPr>
        <w:t>Coordinates presented are in MNI space; k = cluster size; N = 18; *small cluster size, needs to be treated with caution.</w:t>
      </w:r>
    </w:p>
    <w:p w:rsidR="00A63361" w:rsidRDefault="00A63361" w:rsidP="00A63361">
      <w:pPr>
        <w:rPr>
          <w:rFonts w:asciiTheme="majorHAnsi" w:hAnsiTheme="majorHAnsi" w:cs="Arial"/>
          <w:sz w:val="20"/>
          <w:szCs w:val="20"/>
          <w:lang w:val="en-US"/>
        </w:rPr>
      </w:pPr>
      <w:r>
        <w:rPr>
          <w:rFonts w:asciiTheme="majorHAnsi" w:hAnsiTheme="majorHAnsi" w:cs="Arial"/>
          <w:sz w:val="20"/>
          <w:szCs w:val="20"/>
          <w:lang w:val="en-US"/>
        </w:rPr>
        <w:br w:type="page"/>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u w:val="single"/>
          <w:lang w:val="en-US"/>
        </w:rPr>
      </w:pPr>
      <w:r>
        <w:rPr>
          <w:rFonts w:asciiTheme="majorHAnsi" w:hAnsiTheme="majorHAnsi" w:cs="Arial"/>
          <w:sz w:val="20"/>
          <w:szCs w:val="20"/>
          <w:highlight w:val="yellow"/>
          <w:u w:val="single"/>
          <w:lang w:val="en-US"/>
        </w:rPr>
        <w:lastRenderedPageBreak/>
        <w:t>Default mode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 xml:space="preserve">The DMN revealed no significant time x condition interaction in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-FC. However, there was a significant increase in FC from pre to post ‘low’ exercise condition in the left SFG (</w:t>
      </w:r>
      <w:r>
        <w:rPr>
          <w:rFonts w:asciiTheme="majorHAnsi" w:hAnsiTheme="majorHAnsi" w:cs="Arial"/>
          <w:b/>
          <w:sz w:val="20"/>
          <w:szCs w:val="20"/>
          <w:highlight w:val="yellow"/>
          <w:lang w:val="en-US"/>
        </w:rPr>
        <w:t>Figure S6-A, Table S6</w:t>
      </w:r>
      <w:r>
        <w:rPr>
          <w:rFonts w:asciiTheme="majorHAnsi" w:hAnsiTheme="majorHAnsi" w:cs="Arial"/>
          <w:sz w:val="20"/>
          <w:szCs w:val="20"/>
          <w:highlight w:val="yellow"/>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u w:val="single"/>
          <w:lang w:val="en-US"/>
        </w:rPr>
      </w:pPr>
      <w:r>
        <w:rPr>
          <w:rFonts w:asciiTheme="majorHAnsi" w:hAnsiTheme="majorHAnsi" w:cs="Arial"/>
          <w:sz w:val="20"/>
          <w:szCs w:val="20"/>
          <w:highlight w:val="yellow"/>
          <w:u w:val="single"/>
          <w:lang w:val="en-US"/>
        </w:rPr>
        <w:t>Left Affect and Reward Network</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 xml:space="preserve">The LARN did not reveal a significant time x condition interaction in </w:t>
      </w:r>
      <w:proofErr w:type="spellStart"/>
      <w:r>
        <w:rPr>
          <w:rFonts w:asciiTheme="majorHAnsi" w:hAnsiTheme="majorHAnsi" w:cs="Arial"/>
          <w:sz w:val="20"/>
          <w:szCs w:val="20"/>
          <w:highlight w:val="yellow"/>
          <w:lang w:val="en-US"/>
        </w:rPr>
        <w:t>rs</w:t>
      </w:r>
      <w:proofErr w:type="spellEnd"/>
      <w:r>
        <w:rPr>
          <w:rFonts w:asciiTheme="majorHAnsi" w:hAnsiTheme="majorHAnsi" w:cs="Arial"/>
          <w:sz w:val="20"/>
          <w:szCs w:val="20"/>
          <w:highlight w:val="yellow"/>
          <w:lang w:val="en-US"/>
        </w:rPr>
        <w:t>-FC. However, there was a significant increase in FC from pre to post ‘high’ exercise condition in the ACC/</w:t>
      </w:r>
      <w:proofErr w:type="spellStart"/>
      <w:r>
        <w:rPr>
          <w:rFonts w:asciiTheme="majorHAnsi" w:hAnsiTheme="majorHAnsi" w:cs="Arial"/>
          <w:sz w:val="20"/>
          <w:szCs w:val="20"/>
          <w:highlight w:val="yellow"/>
          <w:lang w:val="en-US"/>
        </w:rPr>
        <w:t>paracingulate</w:t>
      </w:r>
      <w:proofErr w:type="spellEnd"/>
      <w:r>
        <w:rPr>
          <w:rFonts w:asciiTheme="majorHAnsi" w:hAnsiTheme="majorHAnsi" w:cs="Arial"/>
          <w:sz w:val="20"/>
          <w:szCs w:val="20"/>
          <w:highlight w:val="yellow"/>
          <w:lang w:val="en-US"/>
        </w:rPr>
        <w:t xml:space="preserve"> cortex, OFC and medial frontal cortex (</w:t>
      </w:r>
      <w:r>
        <w:rPr>
          <w:rFonts w:asciiTheme="majorHAnsi" w:hAnsiTheme="majorHAnsi" w:cs="Arial"/>
          <w:b/>
          <w:sz w:val="20"/>
          <w:szCs w:val="20"/>
          <w:highlight w:val="yellow"/>
          <w:lang w:val="en-US"/>
        </w:rPr>
        <w:t>Figure S6-B, Table S6</w:t>
      </w:r>
      <w:r>
        <w:rPr>
          <w:rFonts w:asciiTheme="majorHAnsi" w:hAnsiTheme="majorHAnsi" w:cs="Arial"/>
          <w:sz w:val="20"/>
          <w:szCs w:val="20"/>
          <w:highlight w:val="yellow"/>
          <w:lang w:val="en-US"/>
        </w:rPr>
        <w:t>).</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highlight w:val="yellow"/>
          <w:u w:val="single"/>
          <w:lang w:val="en-US"/>
        </w:rPr>
      </w:pPr>
      <w:r>
        <w:rPr>
          <w:rFonts w:asciiTheme="majorHAnsi" w:hAnsiTheme="majorHAnsi" w:cs="Arial"/>
          <w:sz w:val="20"/>
          <w:szCs w:val="20"/>
          <w:highlight w:val="yellow"/>
          <w:u w:val="single"/>
          <w:lang w:val="en-US"/>
        </w:rPr>
        <w:t>Other networks</w:t>
      </w:r>
    </w:p>
    <w:p w:rsidR="00A63361" w:rsidRDefault="00A63361" w:rsidP="00A63361">
      <w:pPr>
        <w:widowControl w:val="0"/>
        <w:autoSpaceDE w:val="0"/>
        <w:autoSpaceDN w:val="0"/>
        <w:adjustRightInd w:val="0"/>
        <w:spacing w:line="480" w:lineRule="auto"/>
        <w:jc w:val="both"/>
        <w:rPr>
          <w:rFonts w:asciiTheme="majorHAnsi" w:hAnsiTheme="majorHAnsi" w:cs="Arial"/>
          <w:sz w:val="20"/>
          <w:szCs w:val="20"/>
          <w:lang w:val="en-US"/>
        </w:rPr>
      </w:pPr>
      <w:r>
        <w:rPr>
          <w:rFonts w:asciiTheme="majorHAnsi" w:hAnsiTheme="majorHAnsi" w:cs="Arial"/>
          <w:sz w:val="20"/>
          <w:szCs w:val="20"/>
          <w:highlight w:val="yellow"/>
          <w:lang w:val="en-US"/>
        </w:rPr>
        <w:t xml:space="preserve">We did not detect any further </w:t>
      </w:r>
      <w:proofErr w:type="gramStart"/>
      <w:r>
        <w:rPr>
          <w:rFonts w:asciiTheme="majorHAnsi" w:hAnsiTheme="majorHAnsi" w:cs="Arial"/>
          <w:sz w:val="20"/>
          <w:szCs w:val="20"/>
          <w:highlight w:val="yellow"/>
          <w:lang w:val="en-US"/>
        </w:rPr>
        <w:t>interactions,</w:t>
      </w:r>
      <w:proofErr w:type="gramEnd"/>
      <w:r>
        <w:rPr>
          <w:rFonts w:asciiTheme="majorHAnsi" w:hAnsiTheme="majorHAnsi" w:cs="Arial"/>
          <w:sz w:val="20"/>
          <w:szCs w:val="20"/>
          <w:highlight w:val="yellow"/>
          <w:lang w:val="en-US"/>
        </w:rPr>
        <w:t xml:space="preserve"> however, we detected a significant decrease from pre to post ‘high’ exercise intensity in the middle temporal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in the salience network (</w:t>
      </w:r>
      <w:r>
        <w:rPr>
          <w:rFonts w:asciiTheme="majorHAnsi" w:hAnsiTheme="majorHAnsi" w:cs="Arial"/>
          <w:b/>
          <w:sz w:val="20"/>
          <w:szCs w:val="20"/>
          <w:highlight w:val="yellow"/>
          <w:lang w:val="en-US"/>
        </w:rPr>
        <w:t>Figure S6-E, Table S6</w:t>
      </w:r>
      <w:r>
        <w:rPr>
          <w:rFonts w:asciiTheme="majorHAnsi" w:hAnsiTheme="majorHAnsi" w:cs="Arial"/>
          <w:sz w:val="20"/>
          <w:szCs w:val="20"/>
          <w:highlight w:val="yellow"/>
          <w:lang w:val="en-US"/>
        </w:rPr>
        <w:t>).</w:t>
      </w:r>
      <w:r>
        <w:rPr>
          <w:rFonts w:asciiTheme="majorHAnsi" w:hAnsiTheme="majorHAnsi" w:cs="Arial"/>
          <w:sz w:val="20"/>
          <w:szCs w:val="20"/>
          <w:lang w:val="en-US"/>
        </w:rPr>
        <w:t xml:space="preserve"> </w:t>
      </w:r>
    </w:p>
    <w:p w:rsidR="00A63361" w:rsidRDefault="00A63361" w:rsidP="00A63361">
      <w:pPr>
        <w:spacing w:line="480" w:lineRule="auto"/>
        <w:rPr>
          <w:rFonts w:asciiTheme="majorHAnsi" w:hAnsiTheme="majorHAnsi" w:cs="Arial"/>
          <w:b/>
          <w:sz w:val="20"/>
          <w:szCs w:val="20"/>
          <w:lang w:val="en-US"/>
        </w:rPr>
      </w:pPr>
    </w:p>
    <w:p w:rsidR="00A63361" w:rsidRDefault="00A63361" w:rsidP="00A63361">
      <w:pPr>
        <w:jc w:val="center"/>
        <w:rPr>
          <w:rFonts w:asciiTheme="majorHAnsi" w:hAnsiTheme="majorHAnsi" w:cstheme="majorHAnsi"/>
          <w:b/>
          <w:sz w:val="20"/>
          <w:szCs w:val="20"/>
          <w:lang w:val="en-US"/>
        </w:rPr>
      </w:pPr>
      <w:r>
        <w:rPr>
          <w:rFonts w:asciiTheme="majorHAnsi" w:hAnsiTheme="majorHAnsi" w:cstheme="majorHAnsi"/>
          <w:b/>
          <w:noProof/>
          <w:sz w:val="20"/>
          <w:szCs w:val="20"/>
          <w:lang w:val="en-US" w:eastAsia="en-US"/>
        </w:rPr>
        <w:lastRenderedPageBreak/>
        <w:drawing>
          <wp:inline distT="0" distB="0" distL="0" distR="0">
            <wp:extent cx="5602605" cy="7437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2605" cy="7437120"/>
                    </a:xfrm>
                    <a:prstGeom prst="rect">
                      <a:avLst/>
                    </a:prstGeom>
                    <a:noFill/>
                    <a:ln>
                      <a:noFill/>
                    </a:ln>
                  </pic:spPr>
                </pic:pic>
              </a:graphicData>
            </a:graphic>
          </wp:inline>
        </w:drawing>
      </w:r>
    </w:p>
    <w:p w:rsidR="00A63361" w:rsidRDefault="00A63361" w:rsidP="00A63361">
      <w:pPr>
        <w:jc w:val="both"/>
        <w:rPr>
          <w:rFonts w:asciiTheme="majorHAnsi" w:hAnsiTheme="majorHAnsi" w:cstheme="majorHAnsi"/>
          <w:sz w:val="20"/>
          <w:szCs w:val="20"/>
          <w:lang w:val="en-US"/>
        </w:rPr>
      </w:pPr>
      <w:r>
        <w:rPr>
          <w:rFonts w:asciiTheme="majorHAnsi" w:hAnsiTheme="majorHAnsi" w:cstheme="majorHAnsi"/>
          <w:b/>
          <w:sz w:val="18"/>
          <w:szCs w:val="20"/>
          <w:highlight w:val="yellow"/>
          <w:lang w:val="en-US"/>
        </w:rPr>
        <w:t xml:space="preserve">Figure S6: Differential effects in </w:t>
      </w:r>
      <w:proofErr w:type="spellStart"/>
      <w:r>
        <w:rPr>
          <w:rFonts w:asciiTheme="majorHAnsi" w:hAnsiTheme="majorHAnsi" w:cstheme="majorHAnsi"/>
          <w:b/>
          <w:sz w:val="18"/>
          <w:szCs w:val="20"/>
          <w:highlight w:val="yellow"/>
          <w:lang w:val="en-US"/>
        </w:rPr>
        <w:t>rs</w:t>
      </w:r>
      <w:proofErr w:type="spellEnd"/>
      <w:r>
        <w:rPr>
          <w:rFonts w:asciiTheme="majorHAnsi" w:hAnsiTheme="majorHAnsi" w:cstheme="majorHAnsi"/>
          <w:b/>
          <w:sz w:val="18"/>
          <w:szCs w:val="20"/>
          <w:highlight w:val="yellow"/>
          <w:lang w:val="en-US"/>
        </w:rPr>
        <w:t xml:space="preserve">-FC from pre to post exercise </w:t>
      </w:r>
      <w:r>
        <w:rPr>
          <w:rFonts w:asciiTheme="majorHAnsi" w:hAnsiTheme="majorHAnsi" w:cs="Arial"/>
          <w:b/>
          <w:sz w:val="18"/>
          <w:szCs w:val="20"/>
          <w:highlight w:val="yellow"/>
          <w:lang w:val="en-US"/>
        </w:rPr>
        <w:t>when including HR as covariate of no interest in our analysis after implementing nuisance regression (WM and CSF)</w:t>
      </w:r>
      <w:r>
        <w:rPr>
          <w:rFonts w:asciiTheme="majorHAnsi" w:hAnsiTheme="majorHAnsi" w:cstheme="majorHAnsi"/>
          <w:b/>
          <w:sz w:val="18"/>
          <w:szCs w:val="20"/>
          <w:highlight w:val="yellow"/>
          <w:lang w:val="en-US"/>
        </w:rPr>
        <w:t xml:space="preserve">. </w:t>
      </w:r>
      <w:proofErr w:type="spellStart"/>
      <w:r>
        <w:rPr>
          <w:rFonts w:asciiTheme="majorHAnsi" w:hAnsiTheme="majorHAnsi" w:cstheme="majorHAnsi"/>
          <w:sz w:val="18"/>
          <w:szCs w:val="20"/>
          <w:highlight w:val="yellow"/>
          <w:lang w:val="en-US"/>
        </w:rPr>
        <w:t>Rs</w:t>
      </w:r>
      <w:proofErr w:type="spellEnd"/>
      <w:r>
        <w:rPr>
          <w:rFonts w:asciiTheme="majorHAnsi" w:hAnsiTheme="majorHAnsi" w:cstheme="majorHAnsi"/>
          <w:sz w:val="18"/>
          <w:szCs w:val="20"/>
          <w:highlight w:val="yellow"/>
          <w:lang w:val="en-US"/>
        </w:rPr>
        <w:t>-FC changes in the:</w:t>
      </w:r>
      <w:r>
        <w:rPr>
          <w:rFonts w:asciiTheme="majorHAnsi" w:hAnsiTheme="majorHAnsi" w:cstheme="majorHAnsi"/>
          <w:b/>
          <w:sz w:val="18"/>
          <w:szCs w:val="20"/>
          <w:highlight w:val="yellow"/>
          <w:lang w:val="en-US"/>
        </w:rPr>
        <w:t xml:space="preserve"> </w:t>
      </w:r>
      <w:r>
        <w:rPr>
          <w:rFonts w:asciiTheme="majorHAnsi" w:hAnsiTheme="majorHAnsi" w:cstheme="majorHAnsi"/>
          <w:sz w:val="18"/>
          <w:szCs w:val="20"/>
          <w:highlight w:val="yellow"/>
          <w:lang w:val="en-US"/>
        </w:rPr>
        <w:t xml:space="preserve">A) DMN within the ‘low’ condition (post&gt;pre) in the superior frontal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(SFG), B) LARN within the ‘high’ condition (post&gt;pre) in the </w:t>
      </w:r>
      <w:r>
        <w:rPr>
          <w:rFonts w:asciiTheme="majorHAnsi" w:hAnsiTheme="majorHAnsi" w:cs="Arial"/>
          <w:sz w:val="18"/>
          <w:szCs w:val="20"/>
          <w:highlight w:val="yellow"/>
          <w:lang w:val="en-US"/>
        </w:rPr>
        <w:t>orbitofrontal cortex (OFC)</w:t>
      </w:r>
      <w:r>
        <w:rPr>
          <w:rFonts w:asciiTheme="majorHAnsi" w:hAnsiTheme="majorHAnsi" w:cstheme="majorHAnsi"/>
          <w:sz w:val="18"/>
          <w:szCs w:val="20"/>
          <w:highlight w:val="yellow"/>
          <w:lang w:val="en-US"/>
        </w:rPr>
        <w:t xml:space="preserve">, </w:t>
      </w:r>
      <w:proofErr w:type="spellStart"/>
      <w:r>
        <w:rPr>
          <w:rFonts w:asciiTheme="majorHAnsi" w:hAnsiTheme="majorHAnsi" w:cstheme="majorHAnsi"/>
          <w:sz w:val="18"/>
          <w:szCs w:val="20"/>
          <w:highlight w:val="yellow"/>
          <w:lang w:val="en-US"/>
        </w:rPr>
        <w:t>paracingulate</w:t>
      </w:r>
      <w:proofErr w:type="spellEnd"/>
      <w:r>
        <w:rPr>
          <w:rFonts w:asciiTheme="majorHAnsi" w:hAnsiTheme="majorHAnsi" w:cstheme="majorHAnsi"/>
          <w:sz w:val="18"/>
          <w:szCs w:val="20"/>
          <w:highlight w:val="yellow"/>
          <w:lang w:val="en-US"/>
        </w:rPr>
        <w:t xml:space="preserve"> cortex/anterior cingulate cortex (ACC) and medial frontal cortex (MFC), C) RARN within the ‘high’ condition in the insula, ACC/</w:t>
      </w:r>
      <w:proofErr w:type="spellStart"/>
      <w:r>
        <w:rPr>
          <w:rFonts w:asciiTheme="majorHAnsi" w:hAnsiTheme="majorHAnsi" w:cstheme="majorHAnsi"/>
          <w:sz w:val="18"/>
          <w:szCs w:val="20"/>
          <w:highlight w:val="yellow"/>
          <w:lang w:val="en-US"/>
        </w:rPr>
        <w:t>paracingulate</w:t>
      </w:r>
      <w:proofErr w:type="spellEnd"/>
      <w:r>
        <w:rPr>
          <w:rFonts w:asciiTheme="majorHAnsi" w:hAnsiTheme="majorHAnsi" w:cstheme="majorHAnsi"/>
          <w:sz w:val="18"/>
          <w:szCs w:val="20"/>
          <w:highlight w:val="yellow"/>
          <w:lang w:val="en-US"/>
        </w:rPr>
        <w:t xml:space="preserve"> cortex and </w:t>
      </w:r>
      <w:r>
        <w:rPr>
          <w:rFonts w:asciiTheme="majorHAnsi" w:hAnsiTheme="majorHAnsi" w:cs="Arial"/>
          <w:sz w:val="18"/>
          <w:szCs w:val="20"/>
          <w:highlight w:val="yellow"/>
          <w:lang w:val="en-US"/>
        </w:rPr>
        <w:t>OFC,</w:t>
      </w:r>
      <w:r>
        <w:rPr>
          <w:rFonts w:asciiTheme="majorHAnsi" w:hAnsiTheme="majorHAnsi" w:cstheme="majorHAnsi"/>
          <w:sz w:val="18"/>
          <w:szCs w:val="20"/>
          <w:highlight w:val="yellow"/>
          <w:lang w:val="en-US"/>
        </w:rPr>
        <w:t xml:space="preserve"> D) RFPN within the ‘low’ condition </w:t>
      </w:r>
      <w:r>
        <w:rPr>
          <w:rFonts w:asciiTheme="majorHAnsi" w:hAnsiTheme="majorHAnsi" w:cstheme="majorHAnsi"/>
          <w:sz w:val="18"/>
          <w:szCs w:val="20"/>
          <w:highlight w:val="yellow"/>
          <w:lang w:val="en-US"/>
        </w:rPr>
        <w:lastRenderedPageBreak/>
        <w:t xml:space="preserve">(post&gt;pre) in the MFG , SFG, and cerebellar crus 1, as well as in the ‘high’ condition (post&gt;pre) in the inferior parietal lobule (IPL), E) Salience within the ‘high’ condition (post&gt;pre) in the middle temporal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(MTG), F) SMN within the ‘high’ condition (pre&gt;post) in </w:t>
      </w:r>
      <w:proofErr w:type="spellStart"/>
      <w:r>
        <w:rPr>
          <w:rFonts w:asciiTheme="majorHAnsi" w:hAnsiTheme="majorHAnsi" w:cstheme="majorHAnsi"/>
          <w:sz w:val="18"/>
          <w:szCs w:val="20"/>
          <w:highlight w:val="yellow"/>
          <w:lang w:val="en-US"/>
        </w:rPr>
        <w:t>postcentral</w:t>
      </w:r>
      <w:proofErr w:type="spellEnd"/>
      <w:r>
        <w:rPr>
          <w:rFonts w:asciiTheme="majorHAnsi" w:hAnsiTheme="majorHAnsi" w:cstheme="majorHAnsi"/>
          <w:sz w:val="18"/>
          <w:szCs w:val="20"/>
          <w:highlight w:val="yellow"/>
          <w:lang w:val="en-US"/>
        </w:rPr>
        <w:t xml:space="preserve"> </w:t>
      </w:r>
      <w:proofErr w:type="spellStart"/>
      <w:r>
        <w:rPr>
          <w:rFonts w:asciiTheme="majorHAnsi" w:hAnsiTheme="majorHAnsi" w:cstheme="majorHAnsi"/>
          <w:sz w:val="18"/>
          <w:szCs w:val="20"/>
          <w:highlight w:val="yellow"/>
          <w:lang w:val="en-US"/>
        </w:rPr>
        <w:t>gyrus</w:t>
      </w:r>
      <w:proofErr w:type="spellEnd"/>
      <w:r>
        <w:rPr>
          <w:rFonts w:asciiTheme="majorHAnsi" w:hAnsiTheme="majorHAnsi" w:cstheme="majorHAnsi"/>
          <w:sz w:val="18"/>
          <w:szCs w:val="20"/>
          <w:highlight w:val="yellow"/>
          <w:lang w:val="en-US"/>
        </w:rPr>
        <w:t xml:space="preserve">; data shown is corrected for p&lt;0.05, after multiple comparison correction using TFCE approach; z-values were standardized by dividing them by the SD; The colors of clusters do not indicate increases or decreases; N=20; </w:t>
      </w:r>
      <w:r>
        <w:rPr>
          <w:rFonts w:asciiTheme="majorHAnsi" w:hAnsiTheme="majorHAnsi" w:cs="Arial"/>
          <w:sz w:val="18"/>
          <w:szCs w:val="20"/>
          <w:highlight w:val="yellow"/>
          <w:lang w:val="en-US"/>
        </w:rPr>
        <w:t>R = right; L = left</w:t>
      </w:r>
      <w:r>
        <w:rPr>
          <w:rFonts w:asciiTheme="majorHAnsi" w:hAnsiTheme="majorHAnsi" w:cstheme="majorHAnsi"/>
          <w:sz w:val="18"/>
          <w:szCs w:val="20"/>
          <w:highlight w:val="yellow"/>
          <w:lang w:val="en-US"/>
        </w:rPr>
        <w:t>.</w:t>
      </w:r>
      <w:r>
        <w:rPr>
          <w:rFonts w:asciiTheme="majorHAnsi" w:hAnsiTheme="majorHAnsi" w:cstheme="majorHAnsi"/>
          <w:sz w:val="20"/>
          <w:szCs w:val="20"/>
          <w:lang w:val="en-US"/>
        </w:rPr>
        <w:br w:type="page"/>
      </w:r>
    </w:p>
    <w:tbl>
      <w:tblPr>
        <w:tblStyle w:val="TableGrid"/>
        <w:tblW w:w="9045" w:type="dxa"/>
        <w:tblInd w:w="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6"/>
        <w:gridCol w:w="993"/>
        <w:gridCol w:w="852"/>
        <w:gridCol w:w="851"/>
        <w:gridCol w:w="851"/>
        <w:gridCol w:w="852"/>
        <w:gridCol w:w="1560"/>
      </w:tblGrid>
      <w:tr w:rsidR="00A63361" w:rsidTr="00A63361">
        <w:trPr>
          <w:trHeight w:hRule="exact" w:val="332"/>
        </w:trPr>
        <w:tc>
          <w:tcPr>
            <w:tcW w:w="3085"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lang w:val="en-US"/>
              </w:rPr>
            </w:pPr>
            <w:r>
              <w:rPr>
                <w:rFonts w:asciiTheme="majorHAnsi" w:hAnsiTheme="majorHAnsi" w:cs="Arial"/>
                <w:b/>
                <w:sz w:val="20"/>
                <w:szCs w:val="20"/>
                <w:lang w:val="en-US"/>
              </w:rPr>
              <w:lastRenderedPageBreak/>
              <w:t>brain region</w:t>
            </w:r>
          </w:p>
        </w:tc>
        <w:tc>
          <w:tcPr>
            <w:tcW w:w="992"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b/>
                <w:sz w:val="20"/>
                <w:szCs w:val="20"/>
                <w:lang w:val="en-US"/>
              </w:rPr>
            </w:pPr>
            <w:r>
              <w:rPr>
                <w:rFonts w:asciiTheme="majorHAnsi" w:hAnsiTheme="majorHAnsi" w:cs="Arial"/>
                <w:b/>
                <w:sz w:val="20"/>
                <w:szCs w:val="20"/>
                <w:lang w:val="en-US"/>
              </w:rPr>
              <w:t>side</w:t>
            </w:r>
          </w:p>
        </w:tc>
        <w:tc>
          <w:tcPr>
            <w:tcW w:w="851"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k</w:t>
            </w:r>
          </w:p>
        </w:tc>
        <w:tc>
          <w:tcPr>
            <w:tcW w:w="850"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x</w:t>
            </w:r>
          </w:p>
        </w:tc>
        <w:tc>
          <w:tcPr>
            <w:tcW w:w="850"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y</w:t>
            </w:r>
          </w:p>
        </w:tc>
        <w:tc>
          <w:tcPr>
            <w:tcW w:w="851"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z</w:t>
            </w:r>
          </w:p>
        </w:tc>
        <w:tc>
          <w:tcPr>
            <w:tcW w:w="1559" w:type="dxa"/>
            <w:tcBorders>
              <w:top w:val="single" w:sz="18" w:space="0" w:color="auto"/>
              <w:left w:val="nil"/>
              <w:bottom w:val="single" w:sz="18" w:space="0" w:color="auto"/>
              <w:right w:val="nil"/>
            </w:tcBorders>
            <w:hideMark/>
          </w:tcPr>
          <w:p w:rsidR="00A63361" w:rsidRDefault="00A63361">
            <w:pPr>
              <w:widowControl w:val="0"/>
              <w:autoSpaceDE w:val="0"/>
              <w:autoSpaceDN w:val="0"/>
              <w:adjustRightInd w:val="0"/>
              <w:spacing w:line="480" w:lineRule="auto"/>
              <w:ind w:left="-250" w:firstLine="250"/>
              <w:jc w:val="both"/>
              <w:rPr>
                <w:rFonts w:asciiTheme="majorHAnsi" w:hAnsiTheme="majorHAnsi" w:cs="Arial"/>
                <w:b/>
                <w:sz w:val="20"/>
                <w:szCs w:val="20"/>
                <w:lang w:val="en-US"/>
              </w:rPr>
            </w:pPr>
            <w:r>
              <w:rPr>
                <w:rFonts w:asciiTheme="majorHAnsi" w:hAnsiTheme="majorHAnsi" w:cs="Arial"/>
                <w:b/>
                <w:sz w:val="20"/>
                <w:szCs w:val="20"/>
                <w:lang w:val="en-US"/>
              </w:rPr>
              <w:t>p-value (</w:t>
            </w:r>
            <w:proofErr w:type="spellStart"/>
            <w:r>
              <w:rPr>
                <w:rFonts w:asciiTheme="majorHAnsi" w:hAnsiTheme="majorHAnsi" w:cs="Arial"/>
                <w:b/>
                <w:sz w:val="20"/>
                <w:szCs w:val="20"/>
                <w:lang w:val="en-US"/>
              </w:rPr>
              <w:t>tfce</w:t>
            </w:r>
            <w:proofErr w:type="spellEnd"/>
            <w:r>
              <w:rPr>
                <w:rFonts w:asciiTheme="majorHAnsi" w:hAnsiTheme="majorHAnsi" w:cs="Arial"/>
                <w:b/>
                <w:sz w:val="20"/>
                <w:szCs w:val="20"/>
                <w:lang w:val="en-US"/>
              </w:rPr>
              <w:t>)</w:t>
            </w:r>
          </w:p>
        </w:tc>
      </w:tr>
      <w:tr w:rsidR="00A63361" w:rsidTr="00A63361">
        <w:tc>
          <w:tcPr>
            <w:tcW w:w="4077" w:type="dxa"/>
            <w:gridSpan w:val="2"/>
            <w:tcBorders>
              <w:top w:val="single" w:sz="18" w:space="0" w:color="auto"/>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b/>
                <w:bCs/>
                <w:sz w:val="20"/>
                <w:szCs w:val="20"/>
                <w:highlight w:val="yellow"/>
                <w:u w:val="single"/>
                <w:lang w:val="en-US"/>
              </w:rPr>
            </w:pPr>
            <w:r>
              <w:rPr>
                <w:rFonts w:asciiTheme="majorHAnsi" w:hAnsiTheme="majorHAnsi" w:cs="Arial"/>
                <w:i/>
                <w:sz w:val="20"/>
                <w:szCs w:val="20"/>
                <w:highlight w:val="yellow"/>
                <w:u w:val="single"/>
                <w:lang w:val="en-US"/>
              </w:rPr>
              <w:t>DMN – ‘low’ post&gt;pre</w:t>
            </w:r>
          </w:p>
        </w:tc>
        <w:tc>
          <w:tcPr>
            <w:tcW w:w="851"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0"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0"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851"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c>
          <w:tcPr>
            <w:tcW w:w="1559" w:type="dxa"/>
            <w:tcBorders>
              <w:top w:val="single" w:sz="18" w:space="0" w:color="auto"/>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b/>
                <w:bCs/>
                <w:sz w:val="20"/>
                <w:szCs w:val="20"/>
                <w:highlight w:val="yellow"/>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superior frontal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47</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28</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58</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0.021</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sz w:val="20"/>
                <w:szCs w:val="20"/>
                <w:highlight w:val="yellow"/>
                <w:lang w:val="en-US"/>
              </w:rPr>
            </w:pPr>
            <w:r>
              <w:rPr>
                <w:rFonts w:asciiTheme="majorHAnsi" w:hAnsiTheme="majorHAnsi" w:cs="Arial"/>
                <w:i/>
                <w:sz w:val="20"/>
                <w:szCs w:val="20"/>
                <w:highlight w:val="yellow"/>
                <w:u w:val="single"/>
                <w:lang w:val="en-US"/>
              </w:rPr>
              <w:t>LARN – ‘high’ post&gt;pre</w:t>
            </w:r>
          </w:p>
        </w:tc>
        <w:tc>
          <w:tcPr>
            <w:tcW w:w="992"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1559" w:type="dxa"/>
            <w:tcBorders>
              <w:top w:val="nil"/>
              <w:left w:val="nil"/>
              <w:bottom w:val="nil"/>
              <w:right w:val="nil"/>
            </w:tcBorders>
            <w:vAlign w:val="bottom"/>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rPr>
                <w:rFonts w:asciiTheme="majorHAnsi" w:hAnsiTheme="majorHAnsi" w:cs="Arial"/>
                <w:sz w:val="20"/>
                <w:szCs w:val="20"/>
                <w:highlight w:val="green"/>
                <w:lang w:val="en-US"/>
              </w:rPr>
            </w:pPr>
            <w:proofErr w:type="spellStart"/>
            <w:r>
              <w:rPr>
                <w:rFonts w:asciiTheme="majorHAnsi" w:hAnsiTheme="majorHAnsi" w:cs="Arial"/>
                <w:sz w:val="20"/>
                <w:szCs w:val="20"/>
                <w:highlight w:val="yellow"/>
                <w:lang w:val="en-US"/>
              </w:rPr>
              <w:t>paracingulate</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 ACC</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45</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-8</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32</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-10</w:t>
            </w:r>
          </w:p>
        </w:tc>
        <w:tc>
          <w:tcPr>
            <w:tcW w:w="1559" w:type="dxa"/>
            <w:tcBorders>
              <w:top w:val="nil"/>
              <w:left w:val="nil"/>
              <w:bottom w:val="nil"/>
              <w:right w:val="nil"/>
            </w:tcBorders>
            <w:hideMark/>
          </w:tcPr>
          <w:p w:rsidR="00A63361" w:rsidRDefault="00A63361">
            <w:pPr>
              <w:widowControl w:val="0"/>
              <w:autoSpaceDE w:val="0"/>
              <w:autoSpaceDN w:val="0"/>
              <w:adjustRightInd w:val="0"/>
              <w:spacing w:line="480" w:lineRule="auto"/>
              <w:rPr>
                <w:rFonts w:asciiTheme="majorHAnsi" w:hAnsiTheme="majorHAnsi" w:cs="Arial"/>
                <w:sz w:val="20"/>
                <w:szCs w:val="20"/>
                <w:highlight w:val="yellow"/>
                <w:lang w:val="en-US"/>
              </w:rPr>
            </w:pPr>
            <w:r>
              <w:rPr>
                <w:rFonts w:asciiTheme="majorHAnsi" w:hAnsiTheme="majorHAnsi" w:cs="Arial"/>
                <w:sz w:val="20"/>
                <w:szCs w:val="20"/>
                <w:highlight w:val="yellow"/>
                <w:lang w:val="en-US"/>
              </w:rPr>
              <w:t>0.015</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green"/>
                <w:lang w:val="en-US"/>
              </w:rPr>
            </w:pPr>
            <w:r>
              <w:rPr>
                <w:rFonts w:asciiTheme="majorHAnsi" w:hAnsiTheme="majorHAnsi" w:cs="Arial"/>
                <w:sz w:val="20"/>
                <w:szCs w:val="20"/>
                <w:highlight w:val="yellow"/>
                <w:lang w:val="en-US"/>
              </w:rPr>
              <w:t>orbitofrontal cortex</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21</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30</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-12</w:t>
            </w:r>
          </w:p>
        </w:tc>
        <w:tc>
          <w:tcPr>
            <w:tcW w:w="1559" w:type="dxa"/>
            <w:tcBorders>
              <w:top w:val="nil"/>
              <w:left w:val="nil"/>
              <w:bottom w:val="nil"/>
              <w:right w:val="nil"/>
            </w:tcBorders>
            <w:hideMark/>
          </w:tcPr>
          <w:p w:rsidR="00A63361" w:rsidRDefault="00A63361">
            <w:pPr>
              <w:widowControl w:val="0"/>
              <w:autoSpaceDE w:val="0"/>
              <w:autoSpaceDN w:val="0"/>
              <w:adjustRightInd w:val="0"/>
              <w:spacing w:line="480" w:lineRule="auto"/>
              <w:rPr>
                <w:rFonts w:asciiTheme="majorHAnsi" w:hAnsiTheme="majorHAnsi" w:cs="Arial"/>
                <w:sz w:val="20"/>
                <w:szCs w:val="20"/>
                <w:highlight w:val="yellow"/>
                <w:lang w:val="en-US"/>
              </w:rPr>
            </w:pPr>
            <w:r>
              <w:rPr>
                <w:rFonts w:asciiTheme="majorHAnsi" w:hAnsiTheme="majorHAnsi" w:cs="Arial"/>
                <w:sz w:val="20"/>
                <w:szCs w:val="20"/>
                <w:highlight w:val="yellow"/>
                <w:lang w:val="en-US"/>
              </w:rPr>
              <w:t>0.024</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green"/>
                <w:lang w:val="en-US"/>
              </w:rPr>
            </w:pPr>
            <w:r>
              <w:rPr>
                <w:rFonts w:asciiTheme="majorHAnsi" w:hAnsiTheme="majorHAnsi" w:cs="Arial"/>
                <w:sz w:val="20"/>
                <w:szCs w:val="20"/>
                <w:highlight w:val="yellow"/>
                <w:lang w:val="en-US"/>
              </w:rPr>
              <w:t>medial frontal cortex</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42</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-12</w:t>
            </w:r>
          </w:p>
        </w:tc>
        <w:tc>
          <w:tcPr>
            <w:tcW w:w="1559" w:type="dxa"/>
            <w:tcBorders>
              <w:top w:val="nil"/>
              <w:left w:val="nil"/>
              <w:bottom w:val="nil"/>
              <w:right w:val="nil"/>
            </w:tcBorders>
            <w:hideMark/>
          </w:tcPr>
          <w:p w:rsidR="00A63361" w:rsidRDefault="00A63361">
            <w:pPr>
              <w:widowControl w:val="0"/>
              <w:autoSpaceDE w:val="0"/>
              <w:autoSpaceDN w:val="0"/>
              <w:adjustRightInd w:val="0"/>
              <w:spacing w:line="480" w:lineRule="auto"/>
              <w:rPr>
                <w:rFonts w:asciiTheme="majorHAnsi" w:hAnsiTheme="majorHAnsi" w:cs="Arial"/>
                <w:sz w:val="20"/>
                <w:szCs w:val="20"/>
                <w:highlight w:val="yellow"/>
                <w:lang w:val="en-US"/>
              </w:rPr>
            </w:pPr>
            <w:r>
              <w:rPr>
                <w:rFonts w:asciiTheme="majorHAnsi" w:hAnsiTheme="majorHAnsi" w:cs="Arial"/>
                <w:sz w:val="20"/>
                <w:szCs w:val="20"/>
                <w:highlight w:val="yellow"/>
                <w:lang w:val="en-US"/>
              </w:rPr>
              <w:t>0.049</w:t>
            </w:r>
          </w:p>
        </w:tc>
      </w:tr>
      <w:tr w:rsidR="00A63361" w:rsidTr="00A63361">
        <w:trPr>
          <w:trHeight w:val="519"/>
        </w:trPr>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green"/>
                <w:lang w:val="en-US"/>
              </w:rPr>
            </w:pPr>
            <w:r>
              <w:rPr>
                <w:rFonts w:asciiTheme="majorHAnsi" w:hAnsiTheme="majorHAnsi" w:cs="Arial"/>
                <w:sz w:val="20"/>
                <w:szCs w:val="20"/>
                <w:highlight w:val="yellow"/>
                <w:lang w:val="en-US"/>
              </w:rPr>
              <w:t>orbitofrontal cortex</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-14</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16</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-16</w:t>
            </w:r>
          </w:p>
        </w:tc>
        <w:tc>
          <w:tcPr>
            <w:tcW w:w="1559" w:type="dxa"/>
            <w:tcBorders>
              <w:top w:val="nil"/>
              <w:left w:val="nil"/>
              <w:bottom w:val="nil"/>
              <w:right w:val="nil"/>
            </w:tcBorders>
            <w:hideMark/>
          </w:tcPr>
          <w:p w:rsidR="00A63361" w:rsidRDefault="00A63361">
            <w:pPr>
              <w:widowControl w:val="0"/>
              <w:autoSpaceDE w:val="0"/>
              <w:autoSpaceDN w:val="0"/>
              <w:adjustRightInd w:val="0"/>
              <w:spacing w:line="480" w:lineRule="auto"/>
              <w:ind w:right="254"/>
              <w:rPr>
                <w:rFonts w:asciiTheme="majorHAnsi" w:hAnsiTheme="majorHAnsi" w:cs="Arial"/>
                <w:sz w:val="20"/>
                <w:szCs w:val="20"/>
                <w:highlight w:val="yellow"/>
                <w:lang w:val="en-US"/>
              </w:rPr>
            </w:pPr>
            <w:r>
              <w:rPr>
                <w:rFonts w:asciiTheme="majorHAnsi" w:hAnsiTheme="majorHAnsi" w:cs="Arial"/>
                <w:sz w:val="20"/>
                <w:szCs w:val="20"/>
                <w:highlight w:val="yellow"/>
                <w:lang w:val="en-US"/>
              </w:rPr>
              <w:t>0.049</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i/>
                <w:sz w:val="20"/>
                <w:szCs w:val="20"/>
                <w:highlight w:val="yellow"/>
                <w:u w:val="single"/>
                <w:lang w:val="en-US"/>
              </w:rPr>
            </w:pPr>
            <w:r>
              <w:rPr>
                <w:rFonts w:asciiTheme="majorHAnsi" w:hAnsiTheme="majorHAnsi" w:cs="Arial"/>
                <w:i/>
                <w:sz w:val="20"/>
                <w:szCs w:val="20"/>
                <w:highlight w:val="yellow"/>
                <w:u w:val="single"/>
                <w:lang w:val="en-US"/>
              </w:rPr>
              <w:t>RARN – ‘high’ post&gt;pre</w:t>
            </w:r>
          </w:p>
        </w:tc>
        <w:tc>
          <w:tcPr>
            <w:tcW w:w="992"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1559" w:type="dxa"/>
            <w:tcBorders>
              <w:top w:val="nil"/>
              <w:left w:val="nil"/>
              <w:bottom w:val="nil"/>
              <w:right w:val="nil"/>
            </w:tcBorders>
            <w:vAlign w:val="bottom"/>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roofErr w:type="spellStart"/>
            <w:r>
              <w:rPr>
                <w:rFonts w:asciiTheme="majorHAnsi" w:hAnsiTheme="majorHAnsi" w:cs="Arial"/>
                <w:sz w:val="20"/>
                <w:szCs w:val="20"/>
                <w:highlight w:val="yellow"/>
                <w:lang w:val="en-US"/>
              </w:rPr>
              <w:t>paracingulate</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r>
              <w:rPr>
                <w:rFonts w:asciiTheme="majorHAnsi" w:hAnsiTheme="majorHAnsi" w:cs="Arial"/>
                <w:sz w:val="20"/>
                <w:szCs w:val="20"/>
                <w:highlight w:val="yellow"/>
                <w:lang w:val="en-US"/>
              </w:rPr>
              <w:t xml:space="preserve"> / ACC</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34</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-10</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0.083**</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orbitofrontal cortex</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14</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-20</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0.088**</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insula</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28</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14</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-16</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0.089**</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sz w:val="20"/>
                <w:szCs w:val="20"/>
                <w:highlight w:val="yellow"/>
                <w:lang w:val="en-US"/>
              </w:rPr>
            </w:pPr>
            <w:r>
              <w:rPr>
                <w:rFonts w:asciiTheme="majorHAnsi" w:hAnsiTheme="majorHAnsi" w:cs="Arial"/>
                <w:i/>
                <w:sz w:val="20"/>
                <w:szCs w:val="20"/>
                <w:highlight w:val="yellow"/>
                <w:u w:val="single"/>
                <w:lang w:val="en-US"/>
              </w:rPr>
              <w:t>RFPN – ‘low’ post&gt;pre</w:t>
            </w:r>
          </w:p>
        </w:tc>
        <w:tc>
          <w:tcPr>
            <w:tcW w:w="992"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1559" w:type="dxa"/>
            <w:tcBorders>
              <w:top w:val="nil"/>
              <w:left w:val="nil"/>
              <w:bottom w:val="nil"/>
              <w:right w:val="nil"/>
            </w:tcBorders>
            <w:vAlign w:val="bottom"/>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middle frontal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61</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40</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50</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28</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0.034</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superior frontal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9*</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24</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52</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0.041</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cerebellar crus 1</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-24</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-62</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-38</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0.037</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sz w:val="20"/>
                <w:szCs w:val="20"/>
                <w:highlight w:val="yellow"/>
                <w:lang w:val="en-US"/>
              </w:rPr>
            </w:pPr>
            <w:r>
              <w:rPr>
                <w:rFonts w:asciiTheme="majorHAnsi" w:hAnsiTheme="majorHAnsi" w:cs="Arial"/>
                <w:i/>
                <w:sz w:val="20"/>
                <w:szCs w:val="20"/>
                <w:highlight w:val="yellow"/>
                <w:u w:val="single"/>
                <w:lang w:val="en-US"/>
              </w:rPr>
              <w:t>RFPN – ‘high’ post&gt;pre</w:t>
            </w:r>
          </w:p>
        </w:tc>
        <w:tc>
          <w:tcPr>
            <w:tcW w:w="992"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1559" w:type="dxa"/>
            <w:tcBorders>
              <w:top w:val="nil"/>
              <w:left w:val="nil"/>
              <w:bottom w:val="nil"/>
              <w:right w:val="nil"/>
            </w:tcBorders>
            <w:vAlign w:val="bottom"/>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inferior parietal lobule</w:t>
            </w:r>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-50</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-44</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42</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0.039</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sz w:val="20"/>
                <w:szCs w:val="20"/>
                <w:highlight w:val="yellow"/>
                <w:lang w:val="en-US"/>
              </w:rPr>
            </w:pPr>
            <w:r>
              <w:rPr>
                <w:rFonts w:asciiTheme="majorHAnsi" w:hAnsiTheme="majorHAnsi" w:cs="Arial"/>
                <w:i/>
                <w:sz w:val="20"/>
                <w:szCs w:val="20"/>
                <w:highlight w:val="yellow"/>
                <w:u w:val="single"/>
                <w:lang w:val="en-US"/>
              </w:rPr>
              <w:t>Salience – ‘high’ post&gt;pre</w:t>
            </w:r>
          </w:p>
        </w:tc>
        <w:tc>
          <w:tcPr>
            <w:tcW w:w="992"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1559" w:type="dxa"/>
            <w:tcBorders>
              <w:top w:val="nil"/>
              <w:left w:val="nil"/>
              <w:bottom w:val="nil"/>
              <w:right w:val="nil"/>
            </w:tcBorders>
            <w:vAlign w:val="bottom"/>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 xml:space="preserve">middle temporal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nil"/>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L</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-52</w:t>
            </w:r>
          </w:p>
        </w:tc>
        <w:tc>
          <w:tcPr>
            <w:tcW w:w="850"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-40</w:t>
            </w:r>
          </w:p>
        </w:tc>
        <w:tc>
          <w:tcPr>
            <w:tcW w:w="851" w:type="dxa"/>
            <w:tcBorders>
              <w:top w:val="nil"/>
              <w:left w:val="nil"/>
              <w:bottom w:val="nil"/>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2</w:t>
            </w:r>
          </w:p>
        </w:tc>
        <w:tc>
          <w:tcPr>
            <w:tcW w:w="1559" w:type="dxa"/>
            <w:tcBorders>
              <w:top w:val="nil"/>
              <w:left w:val="nil"/>
              <w:bottom w:val="nil"/>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0.043</w:t>
            </w:r>
          </w:p>
        </w:tc>
      </w:tr>
      <w:tr w:rsidR="00A63361" w:rsidTr="00A63361">
        <w:tc>
          <w:tcPr>
            <w:tcW w:w="3085" w:type="dxa"/>
            <w:tcBorders>
              <w:top w:val="nil"/>
              <w:left w:val="nil"/>
              <w:bottom w:val="nil"/>
              <w:right w:val="nil"/>
            </w:tcBorders>
            <w:hideMark/>
          </w:tcPr>
          <w:p w:rsidR="00A63361" w:rsidRDefault="00A63361">
            <w:pPr>
              <w:widowControl w:val="0"/>
              <w:autoSpaceDE w:val="0"/>
              <w:autoSpaceDN w:val="0"/>
              <w:adjustRightInd w:val="0"/>
              <w:spacing w:before="240" w:line="480" w:lineRule="auto"/>
              <w:ind w:right="255"/>
              <w:jc w:val="both"/>
              <w:rPr>
                <w:rFonts w:asciiTheme="majorHAnsi" w:hAnsiTheme="majorHAnsi" w:cs="Arial"/>
                <w:sz w:val="20"/>
                <w:szCs w:val="20"/>
                <w:highlight w:val="yellow"/>
                <w:lang w:val="en-US"/>
              </w:rPr>
            </w:pPr>
            <w:r>
              <w:rPr>
                <w:rFonts w:asciiTheme="majorHAnsi" w:hAnsiTheme="majorHAnsi" w:cs="Arial"/>
                <w:i/>
                <w:sz w:val="20"/>
                <w:szCs w:val="20"/>
                <w:highlight w:val="yellow"/>
                <w:u w:val="single"/>
                <w:lang w:val="en-US"/>
              </w:rPr>
              <w:t>SMN – high pre&gt;post</w:t>
            </w:r>
          </w:p>
        </w:tc>
        <w:tc>
          <w:tcPr>
            <w:tcW w:w="992" w:type="dxa"/>
            <w:tcBorders>
              <w:top w:val="nil"/>
              <w:left w:val="nil"/>
              <w:bottom w:val="nil"/>
              <w:right w:val="nil"/>
            </w:tcBorders>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0"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851" w:type="dxa"/>
            <w:tcBorders>
              <w:top w:val="nil"/>
              <w:left w:val="nil"/>
              <w:bottom w:val="nil"/>
              <w:right w:val="nil"/>
            </w:tcBorders>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c>
          <w:tcPr>
            <w:tcW w:w="1559" w:type="dxa"/>
            <w:tcBorders>
              <w:top w:val="nil"/>
              <w:left w:val="nil"/>
              <w:bottom w:val="nil"/>
              <w:right w:val="nil"/>
            </w:tcBorders>
            <w:vAlign w:val="bottom"/>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p>
        </w:tc>
      </w:tr>
      <w:tr w:rsidR="00A63361" w:rsidTr="00A63361">
        <w:tc>
          <w:tcPr>
            <w:tcW w:w="3085"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proofErr w:type="spellStart"/>
            <w:r>
              <w:rPr>
                <w:rFonts w:asciiTheme="majorHAnsi" w:hAnsiTheme="majorHAnsi" w:cs="Arial"/>
                <w:sz w:val="20"/>
                <w:szCs w:val="20"/>
                <w:highlight w:val="yellow"/>
                <w:lang w:val="en-US"/>
              </w:rPr>
              <w:t>postcentral</w:t>
            </w:r>
            <w:proofErr w:type="spellEnd"/>
            <w:r>
              <w:rPr>
                <w:rFonts w:asciiTheme="majorHAnsi" w:hAnsiTheme="majorHAnsi" w:cs="Arial"/>
                <w:sz w:val="20"/>
                <w:szCs w:val="20"/>
                <w:highlight w:val="yellow"/>
                <w:lang w:val="en-US"/>
              </w:rPr>
              <w:t xml:space="preserve"> </w:t>
            </w:r>
            <w:proofErr w:type="spellStart"/>
            <w:r>
              <w:rPr>
                <w:rFonts w:asciiTheme="majorHAnsi" w:hAnsiTheme="majorHAnsi" w:cs="Arial"/>
                <w:sz w:val="20"/>
                <w:szCs w:val="20"/>
                <w:highlight w:val="yellow"/>
                <w:lang w:val="en-US"/>
              </w:rPr>
              <w:t>gyrus</w:t>
            </w:r>
            <w:proofErr w:type="spellEnd"/>
          </w:p>
        </w:tc>
        <w:tc>
          <w:tcPr>
            <w:tcW w:w="992"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ind w:right="254"/>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R</w:t>
            </w:r>
          </w:p>
        </w:tc>
        <w:tc>
          <w:tcPr>
            <w:tcW w:w="851"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68</w:t>
            </w:r>
          </w:p>
        </w:tc>
        <w:tc>
          <w:tcPr>
            <w:tcW w:w="850"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18</w:t>
            </w:r>
          </w:p>
        </w:tc>
        <w:tc>
          <w:tcPr>
            <w:tcW w:w="850"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-34</w:t>
            </w:r>
          </w:p>
        </w:tc>
        <w:tc>
          <w:tcPr>
            <w:tcW w:w="851" w:type="dxa"/>
            <w:tcBorders>
              <w:top w:val="nil"/>
              <w:left w:val="nil"/>
              <w:bottom w:val="single" w:sz="18" w:space="0" w:color="auto"/>
              <w:right w:val="nil"/>
            </w:tcBorders>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74</w:t>
            </w:r>
          </w:p>
        </w:tc>
        <w:tc>
          <w:tcPr>
            <w:tcW w:w="1559" w:type="dxa"/>
            <w:tcBorders>
              <w:top w:val="nil"/>
              <w:left w:val="nil"/>
              <w:bottom w:val="single" w:sz="18" w:space="0" w:color="auto"/>
              <w:right w:val="nil"/>
            </w:tcBorders>
            <w:vAlign w:val="bottom"/>
            <w:hideMark/>
          </w:tcPr>
          <w:p w:rsidR="00A63361" w:rsidRDefault="00A63361">
            <w:pPr>
              <w:widowControl w:val="0"/>
              <w:autoSpaceDE w:val="0"/>
              <w:autoSpaceDN w:val="0"/>
              <w:adjustRightInd w:val="0"/>
              <w:spacing w:line="480" w:lineRule="auto"/>
              <w:jc w:val="both"/>
              <w:rPr>
                <w:rFonts w:asciiTheme="majorHAnsi" w:hAnsiTheme="majorHAnsi" w:cs="Arial"/>
                <w:sz w:val="20"/>
                <w:szCs w:val="20"/>
                <w:highlight w:val="yellow"/>
                <w:lang w:val="en-US"/>
              </w:rPr>
            </w:pPr>
            <w:r>
              <w:rPr>
                <w:rFonts w:asciiTheme="majorHAnsi" w:hAnsiTheme="majorHAnsi" w:cs="Arial"/>
                <w:sz w:val="20"/>
                <w:szCs w:val="20"/>
                <w:highlight w:val="yellow"/>
                <w:lang w:val="en-US"/>
              </w:rPr>
              <w:t>0.053**</w:t>
            </w:r>
          </w:p>
        </w:tc>
      </w:tr>
    </w:tbl>
    <w:p w:rsidR="00A63361" w:rsidRDefault="00A63361" w:rsidP="00A63361">
      <w:pPr>
        <w:widowControl w:val="0"/>
        <w:autoSpaceDE w:val="0"/>
        <w:autoSpaceDN w:val="0"/>
        <w:adjustRightInd w:val="0"/>
        <w:jc w:val="both"/>
        <w:rPr>
          <w:sz w:val="18"/>
          <w:szCs w:val="20"/>
          <w:lang w:val="en-US"/>
        </w:rPr>
      </w:pPr>
      <w:r>
        <w:rPr>
          <w:rFonts w:asciiTheme="majorHAnsi" w:hAnsiTheme="majorHAnsi" w:cs="Arial"/>
          <w:b/>
          <w:sz w:val="18"/>
          <w:szCs w:val="20"/>
          <w:highlight w:val="yellow"/>
          <w:lang w:val="en-US"/>
        </w:rPr>
        <w:t xml:space="preserve">Table S6: Brain regions observed significantly different between pre and post within each exercise condition when including HR as covariate of no interest in our analyses after implementing nuisance regression (WM and CSF). </w:t>
      </w:r>
      <w:r>
        <w:rPr>
          <w:rFonts w:asciiTheme="majorHAnsi" w:hAnsiTheme="majorHAnsi" w:cs="Arial"/>
          <w:sz w:val="18"/>
          <w:szCs w:val="20"/>
          <w:highlight w:val="yellow"/>
          <w:lang w:val="en-US"/>
        </w:rPr>
        <w:t>Coordinates presented are in MNI space; k = cluster size; N = 20; *</w:t>
      </w:r>
      <w:r>
        <w:rPr>
          <w:rFonts w:asciiTheme="majorHAnsi" w:hAnsiTheme="majorHAnsi" w:cs="Arial"/>
          <w:bCs/>
          <w:sz w:val="18"/>
          <w:szCs w:val="20"/>
          <w:highlight w:val="yellow"/>
          <w:lang w:val="en-US"/>
        </w:rPr>
        <w:t xml:space="preserve">small cluster size, needs to be treated with caution; </w:t>
      </w:r>
      <w:r>
        <w:rPr>
          <w:rFonts w:asciiTheme="majorHAnsi" w:hAnsiTheme="majorHAnsi" w:cs="Arial"/>
          <w:sz w:val="18"/>
          <w:szCs w:val="20"/>
          <w:highlight w:val="yellow"/>
          <w:lang w:val="en-US"/>
        </w:rPr>
        <w:t>**represents a trend.</w:t>
      </w:r>
    </w:p>
    <w:p w:rsidR="00A63361" w:rsidRDefault="00A63361" w:rsidP="00A63361">
      <w:pPr>
        <w:rPr>
          <w:lang w:val="en-US"/>
        </w:rPr>
      </w:pPr>
    </w:p>
    <w:p w:rsidR="00A63361" w:rsidRDefault="00A63361" w:rsidP="00A63361">
      <w:pPr>
        <w:spacing w:line="480" w:lineRule="auto"/>
        <w:jc w:val="both"/>
        <w:rPr>
          <w:rFonts w:asciiTheme="majorHAnsi" w:hAnsiTheme="majorHAnsi"/>
          <w:sz w:val="20"/>
          <w:szCs w:val="20"/>
          <w:lang w:val="en-US"/>
        </w:rPr>
      </w:pPr>
    </w:p>
    <w:p w:rsidR="000302E9" w:rsidRPr="00A63361" w:rsidRDefault="000302E9" w:rsidP="00A63361"/>
    <w:sectPr w:rsidR="000302E9" w:rsidRPr="00A633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
    <w:altName w:val="Cambria"/>
    <w:panose1 w:val="00000000000000000000"/>
    <w:charset w:val="4D"/>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361"/>
    <w:rsid w:val="000302E9"/>
    <w:rsid w:val="00A63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361"/>
    <w:pPr>
      <w:spacing w:after="0" w:line="240" w:lineRule="auto"/>
    </w:pPr>
    <w:rPr>
      <w:rFonts w:eastAsiaTheme="minorEastAsia"/>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3361"/>
    <w:pPr>
      <w:spacing w:after="0" w:line="240" w:lineRule="auto"/>
    </w:pPr>
    <w:rPr>
      <w:rFonts w:eastAsiaTheme="minorEastAs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3361"/>
    <w:rPr>
      <w:rFonts w:ascii="Tahoma" w:hAnsi="Tahoma" w:cs="Tahoma"/>
      <w:sz w:val="16"/>
      <w:szCs w:val="16"/>
    </w:rPr>
  </w:style>
  <w:style w:type="character" w:customStyle="1" w:styleId="BalloonTextChar">
    <w:name w:val="Balloon Text Char"/>
    <w:basedOn w:val="DefaultParagraphFont"/>
    <w:link w:val="BalloonText"/>
    <w:uiPriority w:val="99"/>
    <w:semiHidden/>
    <w:rsid w:val="00A63361"/>
    <w:rPr>
      <w:rFonts w:ascii="Tahoma" w:eastAsiaTheme="minorEastAsi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361"/>
    <w:pPr>
      <w:spacing w:after="0" w:line="240" w:lineRule="auto"/>
    </w:pPr>
    <w:rPr>
      <w:rFonts w:eastAsiaTheme="minorEastAsia"/>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3361"/>
    <w:pPr>
      <w:spacing w:after="0" w:line="240" w:lineRule="auto"/>
    </w:pPr>
    <w:rPr>
      <w:rFonts w:eastAsiaTheme="minorEastAs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3361"/>
    <w:rPr>
      <w:rFonts w:ascii="Tahoma" w:hAnsi="Tahoma" w:cs="Tahoma"/>
      <w:sz w:val="16"/>
      <w:szCs w:val="16"/>
    </w:rPr>
  </w:style>
  <w:style w:type="character" w:customStyle="1" w:styleId="BalloonTextChar">
    <w:name w:val="Balloon Text Char"/>
    <w:basedOn w:val="DefaultParagraphFont"/>
    <w:link w:val="BalloonText"/>
    <w:uiPriority w:val="99"/>
    <w:semiHidden/>
    <w:rsid w:val="00A63361"/>
    <w:rPr>
      <w:rFonts w:ascii="Tahoma" w:eastAsiaTheme="minorEastAsi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104374">
      <w:bodyDiv w:val="1"/>
      <w:marLeft w:val="0"/>
      <w:marRight w:val="0"/>
      <w:marTop w:val="0"/>
      <w:marBottom w:val="0"/>
      <w:divBdr>
        <w:top w:val="none" w:sz="0" w:space="0" w:color="auto"/>
        <w:left w:val="none" w:sz="0" w:space="0" w:color="auto"/>
        <w:bottom w:val="none" w:sz="0" w:space="0" w:color="auto"/>
        <w:right w:val="none" w:sz="0" w:space="0" w:color="auto"/>
      </w:divBdr>
    </w:div>
    <w:div w:id="169464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2717</Words>
  <Characters>15489</Characters>
  <Application>Microsoft Office Word</Application>
  <DocSecurity>0</DocSecurity>
  <Lines>129</Lines>
  <Paragraphs>36</Paragraphs>
  <ScaleCrop>false</ScaleCrop>
  <Company/>
  <LinksUpToDate>false</LinksUpToDate>
  <CharactersWithSpaces>18170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SGML</dc:creator>
  <cp:lastModifiedBy>SGML</cp:lastModifiedBy>
  <cp:revision>1</cp:revision>
  <dcterms:created xsi:type="dcterms:W3CDTF">2019-09-25T07:15:00Z</dcterms:created>
  <dcterms:modified xsi:type="dcterms:W3CDTF">2019-09-25T07:16:00Z</dcterms:modified>
</cp:coreProperties>
</file>