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C3DBC4" w14:textId="4A118F3F" w:rsidR="00DE47C7" w:rsidRPr="00626813" w:rsidRDefault="00DE47C7" w:rsidP="00385C1A">
      <w:pPr>
        <w:spacing w:line="480" w:lineRule="auto"/>
        <w:jc w:val="both"/>
        <w:rPr>
          <w:rFonts w:eastAsia="Arial"/>
          <w:lang w:val="en-US"/>
        </w:rPr>
      </w:pPr>
      <w:r w:rsidRPr="00626813">
        <w:rPr>
          <w:rFonts w:eastAsia="Arial"/>
          <w:b/>
          <w:lang w:val="en-US"/>
        </w:rPr>
        <w:t xml:space="preserve">Supplementary figure 1. </w:t>
      </w:r>
      <w:r w:rsidRPr="00626813">
        <w:rPr>
          <w:rFonts w:eastAsia="Arial"/>
          <w:lang w:val="en-US"/>
        </w:rPr>
        <w:t xml:space="preserve">Analysis of the selected promoter and exon locations identified through peak calling analysis of the ChIP-seq data on monocytes from </w:t>
      </w:r>
      <w:r w:rsidR="00285D9D" w:rsidRPr="00626813">
        <w:rPr>
          <w:rFonts w:eastAsia="Arial"/>
          <w:lang w:val="en-US"/>
        </w:rPr>
        <w:t xml:space="preserve">patients </w:t>
      </w:r>
      <w:r w:rsidR="00EA2421" w:rsidRPr="00626813">
        <w:rPr>
          <w:rFonts w:eastAsia="Arial"/>
          <w:lang w:val="en-US"/>
        </w:rPr>
        <w:t>with no early recurrence (</w:t>
      </w:r>
      <w:r w:rsidRPr="00626813">
        <w:rPr>
          <w:rFonts w:eastAsia="Arial"/>
          <w:lang w:val="en-US"/>
        </w:rPr>
        <w:t>NR</w:t>
      </w:r>
      <w:r w:rsidR="00EA2421" w:rsidRPr="00626813">
        <w:rPr>
          <w:rFonts w:eastAsia="Arial"/>
          <w:lang w:val="en-US"/>
        </w:rPr>
        <w:t>)</w:t>
      </w:r>
      <w:r w:rsidRPr="00626813">
        <w:rPr>
          <w:rFonts w:eastAsia="Arial"/>
          <w:lang w:val="en-US"/>
        </w:rPr>
        <w:t xml:space="preserve"> and </w:t>
      </w:r>
      <w:r w:rsidR="00EA2421" w:rsidRPr="00626813">
        <w:rPr>
          <w:rFonts w:eastAsia="Arial"/>
          <w:lang w:val="en-US"/>
        </w:rPr>
        <w:t>with early recurrence (</w:t>
      </w:r>
      <w:r w:rsidRPr="00626813">
        <w:rPr>
          <w:rFonts w:eastAsia="Arial"/>
          <w:lang w:val="en-US"/>
        </w:rPr>
        <w:t>R</w:t>
      </w:r>
      <w:r w:rsidR="00EA2421" w:rsidRPr="00626813">
        <w:rPr>
          <w:rFonts w:eastAsia="Arial"/>
          <w:lang w:val="en-US"/>
        </w:rPr>
        <w:t>)</w:t>
      </w:r>
      <w:r w:rsidRPr="00626813">
        <w:rPr>
          <w:rFonts w:eastAsia="Arial"/>
          <w:lang w:val="en-US"/>
        </w:rPr>
        <w:t>. A) Total number of peaks at selected locations. B) Mean peak scores at the selected locations.</w:t>
      </w:r>
    </w:p>
    <w:p w14:paraId="1116782C" w14:textId="77777777" w:rsidR="00942964" w:rsidRPr="00626813" w:rsidRDefault="00942964" w:rsidP="00385C1A">
      <w:pPr>
        <w:spacing w:line="480" w:lineRule="auto"/>
        <w:jc w:val="both"/>
        <w:rPr>
          <w:rFonts w:eastAsia="Arial"/>
          <w:lang w:val="en-US"/>
        </w:rPr>
      </w:pPr>
    </w:p>
    <w:p w14:paraId="260CF585" w14:textId="0FA2A55E" w:rsidR="00942964" w:rsidRPr="00626813" w:rsidRDefault="00942964" w:rsidP="00385C1A">
      <w:pPr>
        <w:spacing w:line="480" w:lineRule="auto"/>
        <w:jc w:val="both"/>
        <w:rPr>
          <w:rFonts w:eastAsia="Arial"/>
          <w:lang w:val="en-US"/>
        </w:rPr>
      </w:pPr>
      <w:r w:rsidRPr="00626813">
        <w:rPr>
          <w:rFonts w:eastAsia="Arial"/>
          <w:b/>
          <w:lang w:val="en-US"/>
        </w:rPr>
        <w:t>Supplementary figure 2.</w:t>
      </w:r>
      <w:r w:rsidRPr="00626813">
        <w:rPr>
          <w:rFonts w:eastAsia="Arial"/>
          <w:lang w:val="en-US"/>
        </w:rPr>
        <w:t xml:space="preserve"> Quantitave </w:t>
      </w:r>
      <w:r w:rsidR="00132E7A" w:rsidRPr="00626813">
        <w:rPr>
          <w:rFonts w:eastAsia="Arial"/>
          <w:lang w:val="en-US"/>
        </w:rPr>
        <w:t>RT</w:t>
      </w:r>
      <w:r w:rsidRPr="00626813">
        <w:rPr>
          <w:rFonts w:eastAsia="Arial"/>
          <w:lang w:val="en-US"/>
        </w:rPr>
        <w:t>-PC</w:t>
      </w:r>
      <w:r w:rsidR="00132E7A" w:rsidRPr="00626813">
        <w:rPr>
          <w:rFonts w:eastAsia="Arial"/>
          <w:lang w:val="en-US"/>
        </w:rPr>
        <w:t>R of TNF</w:t>
      </w:r>
      <w:r w:rsidR="00132E7A" w:rsidRPr="00626813">
        <w:rPr>
          <w:rFonts w:ascii="Symbol" w:eastAsia="Arial" w:hAnsi="Symbol"/>
          <w:lang w:val="en-US"/>
        </w:rPr>
        <w:t></w:t>
      </w:r>
      <w:r w:rsidR="00132E7A" w:rsidRPr="00626813">
        <w:rPr>
          <w:rFonts w:eastAsia="Arial"/>
          <w:lang w:val="en-US"/>
        </w:rPr>
        <w:t xml:space="preserve"> and TLR4 mRNA in monocytes from NMIBC patients. Each </w:t>
      </w:r>
      <w:r w:rsidR="00132E7A" w:rsidRPr="00626813">
        <w:rPr>
          <w:rFonts w:ascii="Symbol" w:eastAsia="Arial" w:hAnsi="Symbol"/>
          <w:lang w:val="en-US"/>
        </w:rPr>
        <w:t></w:t>
      </w:r>
      <w:r w:rsidR="00132E7A" w:rsidRPr="00626813">
        <w:rPr>
          <w:rFonts w:eastAsia="Arial"/>
          <w:lang w:val="en-US"/>
        </w:rPr>
        <w:t>C</w:t>
      </w:r>
      <w:r w:rsidR="00132E7A" w:rsidRPr="00626813">
        <w:rPr>
          <w:rFonts w:eastAsia="Arial"/>
          <w:vertAlign w:val="subscript"/>
          <w:lang w:val="en-US"/>
        </w:rPr>
        <w:t>t</w:t>
      </w:r>
      <w:r w:rsidR="00132E7A" w:rsidRPr="00626813">
        <w:rPr>
          <w:rFonts w:eastAsia="Arial"/>
          <w:lang w:val="en-US"/>
        </w:rPr>
        <w:t xml:space="preserve"> value was calculated relative to the corresponding patient’s GAPDH C</w:t>
      </w:r>
      <w:r w:rsidR="00132E7A" w:rsidRPr="00626813">
        <w:rPr>
          <w:rFonts w:eastAsia="Arial"/>
          <w:vertAlign w:val="subscript"/>
          <w:lang w:val="en-US"/>
        </w:rPr>
        <w:t>t</w:t>
      </w:r>
      <w:r w:rsidR="00132E7A" w:rsidRPr="00626813">
        <w:rPr>
          <w:rFonts w:eastAsia="Arial"/>
          <w:lang w:val="en-US"/>
        </w:rPr>
        <w:t xml:space="preserve"> value.</w:t>
      </w:r>
    </w:p>
    <w:p w14:paraId="28D2CF16" w14:textId="77777777" w:rsidR="00DE47C7" w:rsidRPr="00626813" w:rsidRDefault="00DE47C7" w:rsidP="00385C1A">
      <w:pPr>
        <w:jc w:val="both"/>
      </w:pPr>
    </w:p>
    <w:p w14:paraId="133CE36D" w14:textId="77777777" w:rsidR="00DE47C7" w:rsidRPr="00626813" w:rsidRDefault="00DE47C7" w:rsidP="00385C1A">
      <w:pPr>
        <w:jc w:val="both"/>
        <w:rPr>
          <w:lang w:val="en-US"/>
        </w:rPr>
      </w:pPr>
    </w:p>
    <w:p w14:paraId="145D189D" w14:textId="77777777" w:rsidR="00DE47C7" w:rsidRPr="00626813" w:rsidRDefault="00DE47C7" w:rsidP="00385C1A">
      <w:pPr>
        <w:jc w:val="both"/>
        <w:rPr>
          <w:lang w:val="en-US"/>
        </w:rPr>
      </w:pPr>
    </w:p>
    <w:p w14:paraId="528601A5" w14:textId="77777777" w:rsidR="00DE47C7" w:rsidRPr="00626813" w:rsidRDefault="00DE47C7" w:rsidP="00385C1A">
      <w:pPr>
        <w:jc w:val="both"/>
        <w:rPr>
          <w:lang w:val="en-US"/>
        </w:rPr>
      </w:pPr>
    </w:p>
    <w:p w14:paraId="79FA0322" w14:textId="77777777" w:rsidR="00DE47C7" w:rsidRPr="00626813" w:rsidRDefault="00DE47C7" w:rsidP="00385C1A">
      <w:pPr>
        <w:jc w:val="both"/>
        <w:rPr>
          <w:lang w:val="en-US"/>
        </w:rPr>
      </w:pPr>
    </w:p>
    <w:p w14:paraId="07573AA6" w14:textId="40679826" w:rsidR="00554DB4" w:rsidRPr="00626813" w:rsidRDefault="00554DB4" w:rsidP="00385C1A">
      <w:pPr>
        <w:spacing w:after="160" w:line="259" w:lineRule="auto"/>
        <w:jc w:val="both"/>
        <w:rPr>
          <w:lang w:val="en-US"/>
        </w:rPr>
      </w:pPr>
      <w:r w:rsidRPr="00626813">
        <w:rPr>
          <w:lang w:val="en-US"/>
        </w:rPr>
        <w:br w:type="page"/>
      </w:r>
    </w:p>
    <w:tbl>
      <w:tblPr>
        <w:tblW w:w="10254" w:type="dxa"/>
        <w:tblLook w:val="04A0" w:firstRow="1" w:lastRow="0" w:firstColumn="1" w:lastColumn="0" w:noHBand="0" w:noVBand="1"/>
      </w:tblPr>
      <w:tblGrid>
        <w:gridCol w:w="979"/>
        <w:gridCol w:w="733"/>
        <w:gridCol w:w="607"/>
        <w:gridCol w:w="716"/>
        <w:gridCol w:w="1918"/>
        <w:gridCol w:w="718"/>
        <w:gridCol w:w="733"/>
        <w:gridCol w:w="607"/>
        <w:gridCol w:w="607"/>
        <w:gridCol w:w="1918"/>
        <w:gridCol w:w="718"/>
      </w:tblGrid>
      <w:tr w:rsidR="00DE47C7" w:rsidRPr="00626813" w14:paraId="053A2C39" w14:textId="77777777" w:rsidTr="00C52190">
        <w:trPr>
          <w:trHeight w:val="300"/>
        </w:trPr>
        <w:tc>
          <w:tcPr>
            <w:tcW w:w="1025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D5EEE3" w14:textId="1B591494" w:rsidR="00DE47C7" w:rsidRPr="00626813" w:rsidRDefault="00DE47C7" w:rsidP="00385C1A">
            <w:pPr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bookmarkStart w:id="0" w:name="_GoBack"/>
            <w:bookmarkEnd w:id="0"/>
            <w:r w:rsidRPr="00626813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val="en-US"/>
              </w:rPr>
              <w:lastRenderedPageBreak/>
              <w:t>Sup</w:t>
            </w:r>
            <w:r w:rsidR="60DE820F" w:rsidRPr="00626813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val="en-US"/>
              </w:rPr>
              <w:t>p</w:t>
            </w:r>
            <w:r w:rsidRPr="00626813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val="en-US"/>
              </w:rPr>
              <w:t>lementary Table 1. Analysis of TNF</w:t>
            </w:r>
            <w:r w:rsidR="60DE820F" w:rsidRPr="00626813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val="en-US"/>
              </w:rPr>
              <w:t>α</w:t>
            </w:r>
            <w:r w:rsidRPr="00626813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val="en-US"/>
              </w:rPr>
              <w:t xml:space="preserve"> and TLR4, two-sided t-test, comparing NER and ER patient groups at different time points</w:t>
            </w:r>
          </w:p>
        </w:tc>
      </w:tr>
      <w:tr w:rsidR="00DE47C7" w:rsidRPr="00626813" w14:paraId="21C1075C" w14:textId="77777777" w:rsidTr="00C52190">
        <w:trPr>
          <w:trHeight w:val="300"/>
        </w:trPr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F2B33" w14:textId="77777777" w:rsidR="00DE47C7" w:rsidRPr="00626813" w:rsidRDefault="00DE47C7" w:rsidP="00385C1A">
            <w:pPr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9089C" w14:textId="77777777" w:rsidR="00DE47C7" w:rsidRPr="00626813" w:rsidRDefault="00DE47C7" w:rsidP="00385C1A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C34A5" w14:textId="77777777" w:rsidR="00DE47C7" w:rsidRPr="00626813" w:rsidRDefault="00DE47C7" w:rsidP="00385C1A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C6E0B" w14:textId="77777777" w:rsidR="00DE47C7" w:rsidRPr="00626813" w:rsidRDefault="00DE47C7" w:rsidP="00385C1A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65624" w14:textId="77777777" w:rsidR="00DE47C7" w:rsidRPr="00626813" w:rsidRDefault="00DE47C7" w:rsidP="00385C1A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37B1F" w14:textId="77777777" w:rsidR="00DE47C7" w:rsidRPr="00626813" w:rsidRDefault="00DE47C7" w:rsidP="00385C1A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71826" w14:textId="77777777" w:rsidR="00DE47C7" w:rsidRPr="00626813" w:rsidRDefault="00DE47C7" w:rsidP="00385C1A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63302" w14:textId="77777777" w:rsidR="00DE47C7" w:rsidRPr="00626813" w:rsidRDefault="00DE47C7" w:rsidP="00385C1A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FBF52" w14:textId="77777777" w:rsidR="00DE47C7" w:rsidRPr="00626813" w:rsidRDefault="00DE47C7" w:rsidP="00385C1A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BA6B3" w14:textId="77777777" w:rsidR="00DE47C7" w:rsidRPr="00626813" w:rsidRDefault="00DE47C7" w:rsidP="00385C1A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6E8E2" w14:textId="77777777" w:rsidR="00DE47C7" w:rsidRPr="00626813" w:rsidRDefault="00DE47C7" w:rsidP="00385C1A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DE47C7" w:rsidRPr="00626813" w14:paraId="4D0C8761" w14:textId="77777777" w:rsidTr="00C52190">
        <w:trPr>
          <w:trHeight w:val="300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44256C" w14:textId="77777777" w:rsidR="00DE47C7" w:rsidRPr="00626813" w:rsidRDefault="00DE47C7" w:rsidP="00385C1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62681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927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225C6146" w14:textId="77777777" w:rsidR="00DE47C7" w:rsidRPr="00626813" w:rsidRDefault="00DE47C7" w:rsidP="00385C1A">
            <w:pPr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nl-NL"/>
              </w:rPr>
            </w:pPr>
            <w:r w:rsidRPr="0062681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r w:rsidRPr="0062681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nl-NL"/>
              </w:rPr>
              <w:t>NER (n=3) vs ER (n=4), df = 5</w:t>
            </w:r>
          </w:p>
        </w:tc>
      </w:tr>
      <w:tr w:rsidR="00DE47C7" w:rsidRPr="00626813" w14:paraId="46534A82" w14:textId="77777777" w:rsidTr="00C52190">
        <w:trPr>
          <w:trHeight w:val="300"/>
        </w:trPr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282FB" w14:textId="77777777" w:rsidR="00DE47C7" w:rsidRPr="00626813" w:rsidRDefault="00DE47C7" w:rsidP="00385C1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nl-NL"/>
              </w:rPr>
            </w:pPr>
            <w:r w:rsidRPr="00626813">
              <w:rPr>
                <w:rFonts w:ascii="Calibri" w:hAnsi="Calibri" w:cs="Calibri"/>
                <w:color w:val="000000"/>
                <w:sz w:val="22"/>
                <w:szCs w:val="22"/>
                <w:lang w:val="nl-NL"/>
              </w:rPr>
              <w:t> </w:t>
            </w:r>
          </w:p>
        </w:tc>
        <w:tc>
          <w:tcPr>
            <w:tcW w:w="4692" w:type="dxa"/>
            <w:gridSpan w:val="5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7F57C2DA" w14:textId="77777777" w:rsidR="00DE47C7" w:rsidRPr="00626813" w:rsidRDefault="00DE47C7" w:rsidP="00385C1A">
            <w:pPr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62681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 xml:space="preserve">Week 1 </w:t>
            </w:r>
          </w:p>
        </w:tc>
        <w:tc>
          <w:tcPr>
            <w:tcW w:w="4583" w:type="dxa"/>
            <w:gridSpan w:val="5"/>
            <w:tcBorders>
              <w:top w:val="nil"/>
              <w:left w:val="nil"/>
              <w:bottom w:val="nil"/>
              <w:right w:val="single" w:sz="8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64DB2625" w14:textId="77777777" w:rsidR="00DE47C7" w:rsidRPr="00626813" w:rsidRDefault="00DE47C7" w:rsidP="00385C1A">
            <w:pPr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62681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>Week 6</w:t>
            </w:r>
          </w:p>
        </w:tc>
      </w:tr>
      <w:tr w:rsidR="00DE47C7" w:rsidRPr="00626813" w14:paraId="11F8CC5B" w14:textId="77777777" w:rsidTr="00C52190">
        <w:trPr>
          <w:trHeight w:val="315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E3ABE" w14:textId="77777777" w:rsidR="00DE47C7" w:rsidRPr="00626813" w:rsidRDefault="00DE47C7" w:rsidP="00385C1A">
            <w:pPr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62681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>Variable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003283" w14:textId="77777777" w:rsidR="00DE47C7" w:rsidRPr="00626813" w:rsidRDefault="00DE47C7" w:rsidP="00385C1A">
            <w:pPr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62681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>mean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9E9ADD" w14:textId="77777777" w:rsidR="00DE47C7" w:rsidRPr="00626813" w:rsidRDefault="00DE47C7" w:rsidP="00385C1A">
            <w:pPr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62681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>std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A7F0DE" w14:textId="77777777" w:rsidR="00DE47C7" w:rsidRPr="00626813" w:rsidRDefault="00DE47C7" w:rsidP="00385C1A">
            <w:pPr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62681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>t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D053A8" w14:textId="77777777" w:rsidR="00DE47C7" w:rsidRPr="00626813" w:rsidRDefault="00DE47C7" w:rsidP="00385C1A">
            <w:pPr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62681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>d (CI)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63A29" w14:textId="77777777" w:rsidR="00DE47C7" w:rsidRPr="00626813" w:rsidRDefault="00DE47C7" w:rsidP="00385C1A">
            <w:pPr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62681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>p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920079" w14:textId="77777777" w:rsidR="00DE47C7" w:rsidRPr="00626813" w:rsidRDefault="00DE47C7" w:rsidP="00385C1A">
            <w:pPr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62681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>mean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290A08" w14:textId="77777777" w:rsidR="00DE47C7" w:rsidRPr="00626813" w:rsidRDefault="00DE47C7" w:rsidP="00385C1A">
            <w:pPr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62681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>std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72BA37" w14:textId="77777777" w:rsidR="00DE47C7" w:rsidRPr="00626813" w:rsidRDefault="00DE47C7" w:rsidP="00385C1A">
            <w:pPr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62681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>t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5E7346" w14:textId="77777777" w:rsidR="00DE47C7" w:rsidRPr="00626813" w:rsidRDefault="00DE47C7" w:rsidP="00385C1A">
            <w:pPr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62681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>d (CI)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790D1C" w14:textId="77777777" w:rsidR="00DE47C7" w:rsidRPr="00626813" w:rsidRDefault="00DE47C7" w:rsidP="00385C1A">
            <w:pPr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62681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>p</w:t>
            </w:r>
          </w:p>
        </w:tc>
      </w:tr>
      <w:tr w:rsidR="00DE47C7" w:rsidRPr="00626813" w14:paraId="7FDA69F7" w14:textId="77777777" w:rsidTr="00C52190">
        <w:trPr>
          <w:trHeight w:val="300"/>
        </w:trPr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4892A" w14:textId="27C21AAD" w:rsidR="00DE47C7" w:rsidRPr="00626813" w:rsidRDefault="008E4767" w:rsidP="00385C1A">
            <w:pPr>
              <w:jc w:val="both"/>
              <w:rPr>
                <w:rFonts w:ascii="Symbol" w:hAnsi="Symbol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62681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>TNF</w:t>
            </w:r>
            <w:r w:rsidRPr="00626813">
              <w:rPr>
                <w:rFonts w:ascii="Symbol" w:hAnsi="Symbol" w:cs="Calibri"/>
                <w:b/>
                <w:bCs/>
                <w:color w:val="000000"/>
                <w:sz w:val="22"/>
                <w:szCs w:val="22"/>
                <w:lang w:val="en-US"/>
              </w:rPr>
              <w:t>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EDC62" w14:textId="77777777" w:rsidR="00DE47C7" w:rsidRPr="00626813" w:rsidRDefault="00DE47C7" w:rsidP="00385C1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98A6C" w14:textId="77777777" w:rsidR="00DE47C7" w:rsidRPr="00626813" w:rsidRDefault="00DE47C7" w:rsidP="00385C1A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01D83" w14:textId="77777777" w:rsidR="00DE47C7" w:rsidRPr="00626813" w:rsidRDefault="00DE47C7" w:rsidP="00385C1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62681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4.14*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900FC" w14:textId="77777777" w:rsidR="00DE47C7" w:rsidRPr="00626813" w:rsidRDefault="00DE47C7" w:rsidP="00385C1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62681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0.29 (-1.23, 1.79)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78795" w14:textId="70678B85" w:rsidR="00DE47C7" w:rsidRPr="00626813" w:rsidRDefault="00426B98" w:rsidP="00385C1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62681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0.</w:t>
            </w:r>
            <w:r w:rsidR="00DE47C7" w:rsidRPr="0062681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048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93645" w14:textId="77777777" w:rsidR="00DE47C7" w:rsidRPr="00626813" w:rsidRDefault="00DE47C7" w:rsidP="00385C1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3D86D" w14:textId="77777777" w:rsidR="00DE47C7" w:rsidRPr="00626813" w:rsidRDefault="00DE47C7" w:rsidP="00385C1A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27B87" w14:textId="4DFDD586" w:rsidR="00DE47C7" w:rsidRPr="00626813" w:rsidRDefault="00426B98" w:rsidP="00385C1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62681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2.</w:t>
            </w:r>
            <w:r w:rsidR="00DE47C7" w:rsidRPr="0062681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25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9D125" w14:textId="77777777" w:rsidR="00DE47C7" w:rsidRPr="00626813" w:rsidRDefault="00DE47C7" w:rsidP="00385C1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62681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1.72 (-0.16, 3.49)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D94FE1" w14:textId="67F3D265" w:rsidR="00DE47C7" w:rsidRPr="00626813" w:rsidRDefault="00426B98" w:rsidP="00385C1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62681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0.</w:t>
            </w:r>
            <w:r w:rsidR="00DE47C7" w:rsidRPr="0062681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074</w:t>
            </w:r>
          </w:p>
        </w:tc>
      </w:tr>
      <w:tr w:rsidR="00DE47C7" w:rsidRPr="00626813" w14:paraId="3663CD19" w14:textId="77777777" w:rsidTr="00C52190">
        <w:trPr>
          <w:trHeight w:val="300"/>
        </w:trPr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012E7" w14:textId="77777777" w:rsidR="00DE47C7" w:rsidRPr="00626813" w:rsidRDefault="00DE47C7" w:rsidP="00385C1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62681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NER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21097" w14:textId="48C8AFEA" w:rsidR="00DE47C7" w:rsidRPr="00626813" w:rsidRDefault="00426B98" w:rsidP="00385C1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62681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9.</w:t>
            </w:r>
            <w:r w:rsidR="00DE47C7" w:rsidRPr="0062681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73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3679E" w14:textId="671FA13C" w:rsidR="00DE47C7" w:rsidRPr="00626813" w:rsidRDefault="00426B98" w:rsidP="00385C1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62681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2.</w:t>
            </w:r>
            <w:r w:rsidR="00DE47C7" w:rsidRPr="0062681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47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AEE6A" w14:textId="77777777" w:rsidR="00DE47C7" w:rsidRPr="00626813" w:rsidRDefault="00DE47C7" w:rsidP="00385C1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9466D" w14:textId="77777777" w:rsidR="00DE47C7" w:rsidRPr="00626813" w:rsidRDefault="00DE47C7" w:rsidP="00385C1A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FAF59" w14:textId="77777777" w:rsidR="00DE47C7" w:rsidRPr="00626813" w:rsidRDefault="00DE47C7" w:rsidP="00385C1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62681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6A473" w14:textId="74568EFC" w:rsidR="00DE47C7" w:rsidRPr="00626813" w:rsidRDefault="00426B98" w:rsidP="00385C1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62681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7.</w:t>
            </w:r>
            <w:r w:rsidR="00DE47C7" w:rsidRPr="0062681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91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FB5AF" w14:textId="19630276" w:rsidR="00DE47C7" w:rsidRPr="00626813" w:rsidRDefault="00426B98" w:rsidP="00385C1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62681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1.</w:t>
            </w:r>
            <w:r w:rsidR="00DE47C7" w:rsidRPr="0062681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28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9AF40" w14:textId="77777777" w:rsidR="00DE47C7" w:rsidRPr="00626813" w:rsidRDefault="00DE47C7" w:rsidP="00385C1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4F853" w14:textId="77777777" w:rsidR="00DE47C7" w:rsidRPr="00626813" w:rsidRDefault="00DE47C7" w:rsidP="00385C1A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D76C54" w14:textId="77777777" w:rsidR="00DE47C7" w:rsidRPr="00626813" w:rsidRDefault="00DE47C7" w:rsidP="00385C1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62681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DE47C7" w:rsidRPr="00626813" w14:paraId="533EDD1C" w14:textId="77777777" w:rsidTr="00C52190">
        <w:trPr>
          <w:trHeight w:val="300"/>
        </w:trPr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01837" w14:textId="77777777" w:rsidR="00DE47C7" w:rsidRPr="00626813" w:rsidRDefault="00DE47C7" w:rsidP="00385C1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62681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ER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DD18B" w14:textId="75F957D0" w:rsidR="00DE47C7" w:rsidRPr="00626813" w:rsidRDefault="00426B98" w:rsidP="00385C1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62681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3.</w:t>
            </w:r>
            <w:r w:rsidR="00DE47C7" w:rsidRPr="0062681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73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C99FD" w14:textId="21857952" w:rsidR="00DE47C7" w:rsidRPr="00626813" w:rsidRDefault="00426B98" w:rsidP="00385C1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62681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0.</w:t>
            </w:r>
            <w:r w:rsidR="00DE47C7" w:rsidRPr="0062681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50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C463E" w14:textId="77777777" w:rsidR="00DE47C7" w:rsidRPr="00626813" w:rsidRDefault="00DE47C7" w:rsidP="00385C1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F8F5E" w14:textId="77777777" w:rsidR="00DE47C7" w:rsidRPr="00626813" w:rsidRDefault="00DE47C7" w:rsidP="00385C1A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BD0A2" w14:textId="77777777" w:rsidR="00DE47C7" w:rsidRPr="00626813" w:rsidRDefault="00DE47C7" w:rsidP="00385C1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62681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F9544" w14:textId="33DCA927" w:rsidR="00DE47C7" w:rsidRPr="00626813" w:rsidRDefault="00426B98" w:rsidP="00385C1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62681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4.</w:t>
            </w:r>
            <w:r w:rsidR="00DE47C7" w:rsidRPr="0062681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88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E374E" w14:textId="7FA66DF4" w:rsidR="00DE47C7" w:rsidRPr="00626813" w:rsidRDefault="00426B98" w:rsidP="00385C1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62681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2.</w:t>
            </w:r>
            <w:r w:rsidR="00DE47C7" w:rsidRPr="0062681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02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C90DE" w14:textId="77777777" w:rsidR="00DE47C7" w:rsidRPr="00626813" w:rsidRDefault="00DE47C7" w:rsidP="00385C1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E4CD9" w14:textId="77777777" w:rsidR="00DE47C7" w:rsidRPr="00626813" w:rsidRDefault="00DE47C7" w:rsidP="00385C1A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66DD27" w14:textId="77777777" w:rsidR="00DE47C7" w:rsidRPr="00626813" w:rsidRDefault="00DE47C7" w:rsidP="00385C1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62681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DE47C7" w:rsidRPr="00626813" w14:paraId="046451B7" w14:textId="77777777" w:rsidTr="00C52190">
        <w:trPr>
          <w:trHeight w:val="300"/>
        </w:trPr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56100" w14:textId="77777777" w:rsidR="00DE47C7" w:rsidRPr="00626813" w:rsidRDefault="00DE47C7" w:rsidP="00385C1A">
            <w:pPr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62681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>TLR4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71112" w14:textId="77777777" w:rsidR="00DE47C7" w:rsidRPr="00626813" w:rsidRDefault="00DE47C7" w:rsidP="00385C1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6B1BD" w14:textId="77777777" w:rsidR="00DE47C7" w:rsidRPr="00626813" w:rsidRDefault="00DE47C7" w:rsidP="00385C1A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D5D1A" w14:textId="730A6815" w:rsidR="00DE47C7" w:rsidRPr="00626813" w:rsidRDefault="00426B98" w:rsidP="00385C1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62681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5.</w:t>
            </w:r>
            <w:r w:rsidR="00DE47C7" w:rsidRPr="0062681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11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9862F" w14:textId="77777777" w:rsidR="00DE47C7" w:rsidRPr="00626813" w:rsidRDefault="00DE47C7" w:rsidP="00385C1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62681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1.34 (1.08, 6.65)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DB951" w14:textId="3DAD4339" w:rsidR="00DE47C7" w:rsidRPr="00626813" w:rsidRDefault="00426B98" w:rsidP="00385C1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62681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0.</w:t>
            </w:r>
            <w:r w:rsidR="00DE47C7" w:rsidRPr="0062681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004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B1A6F" w14:textId="77777777" w:rsidR="00DE47C7" w:rsidRPr="00626813" w:rsidRDefault="00DE47C7" w:rsidP="00385C1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21581" w14:textId="77777777" w:rsidR="00DE47C7" w:rsidRPr="00626813" w:rsidRDefault="00DE47C7" w:rsidP="00385C1A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FAF09" w14:textId="66269C6D" w:rsidR="00DE47C7" w:rsidRPr="00626813" w:rsidRDefault="00426B98" w:rsidP="00385C1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62681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0.</w:t>
            </w:r>
            <w:r w:rsidR="00DE47C7" w:rsidRPr="0062681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26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AB672" w14:textId="77777777" w:rsidR="00DE47C7" w:rsidRPr="00626813" w:rsidRDefault="00DE47C7" w:rsidP="00385C1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62681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0.20 (-1.31, 1.69)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362CDF" w14:textId="6C1C0AD5" w:rsidR="00DE47C7" w:rsidRPr="00626813" w:rsidRDefault="00426B98" w:rsidP="00385C1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62681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0.</w:t>
            </w:r>
            <w:r w:rsidR="00DE47C7" w:rsidRPr="0062681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804</w:t>
            </w:r>
          </w:p>
        </w:tc>
      </w:tr>
      <w:tr w:rsidR="00DE47C7" w:rsidRPr="00626813" w14:paraId="103729ED" w14:textId="77777777" w:rsidTr="00C52190">
        <w:trPr>
          <w:trHeight w:val="300"/>
        </w:trPr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F7FC6" w14:textId="77777777" w:rsidR="00DE47C7" w:rsidRPr="00626813" w:rsidRDefault="00DE47C7" w:rsidP="00385C1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62681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NER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57B70" w14:textId="28A652CC" w:rsidR="00DE47C7" w:rsidRPr="00626813" w:rsidRDefault="00426B98" w:rsidP="00385C1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62681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7.</w:t>
            </w:r>
            <w:r w:rsidR="00DE47C7" w:rsidRPr="0062681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33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D4D7B" w14:textId="4C1369CA" w:rsidR="00DE47C7" w:rsidRPr="00626813" w:rsidRDefault="00426B98" w:rsidP="00385C1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62681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1.</w:t>
            </w:r>
            <w:r w:rsidR="00DE47C7" w:rsidRPr="0062681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97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240B3" w14:textId="77777777" w:rsidR="00DE47C7" w:rsidRPr="00626813" w:rsidRDefault="00DE47C7" w:rsidP="00385C1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8E4C7" w14:textId="77777777" w:rsidR="00DE47C7" w:rsidRPr="00626813" w:rsidRDefault="00DE47C7" w:rsidP="00385C1A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D604A" w14:textId="77777777" w:rsidR="00DE47C7" w:rsidRPr="00626813" w:rsidRDefault="00DE47C7" w:rsidP="00385C1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62681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3C0FC" w14:textId="6FD09351" w:rsidR="00DE47C7" w:rsidRPr="00626813" w:rsidRDefault="00426B98" w:rsidP="00385C1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62681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4.</w:t>
            </w:r>
            <w:r w:rsidR="00DE47C7" w:rsidRPr="0062681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21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F760A" w14:textId="40CD4B26" w:rsidR="00DE47C7" w:rsidRPr="00626813" w:rsidRDefault="00426B98" w:rsidP="00385C1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62681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1.</w:t>
            </w:r>
            <w:r w:rsidR="00DE47C7" w:rsidRPr="0062681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04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02616" w14:textId="77777777" w:rsidR="00DE47C7" w:rsidRPr="00626813" w:rsidRDefault="00DE47C7" w:rsidP="00385C1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20CA3" w14:textId="77777777" w:rsidR="00DE47C7" w:rsidRPr="00626813" w:rsidRDefault="00DE47C7" w:rsidP="00385C1A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0B793E" w14:textId="77777777" w:rsidR="00DE47C7" w:rsidRPr="00626813" w:rsidRDefault="00DE47C7" w:rsidP="00385C1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62681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DE47C7" w:rsidRPr="00626813" w14:paraId="27723E2D" w14:textId="77777777" w:rsidTr="00C52190">
        <w:trPr>
          <w:trHeight w:val="300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019E1" w14:textId="77777777" w:rsidR="00DE47C7" w:rsidRPr="00626813" w:rsidRDefault="00DE47C7" w:rsidP="00385C1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62681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ER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FD89BB" w14:textId="49A6FA40" w:rsidR="00DE47C7" w:rsidRPr="00626813" w:rsidRDefault="00426B98" w:rsidP="00385C1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62681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2.</w:t>
            </w:r>
            <w:r w:rsidR="00DE47C7" w:rsidRPr="0062681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12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999F3A" w14:textId="46305AFC" w:rsidR="00DE47C7" w:rsidRPr="00626813" w:rsidRDefault="00426B98" w:rsidP="00385C1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62681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0.</w:t>
            </w:r>
            <w:r w:rsidR="00DE47C7" w:rsidRPr="0062681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61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7E5B2C" w14:textId="77777777" w:rsidR="00DE47C7" w:rsidRPr="00626813" w:rsidRDefault="00DE47C7" w:rsidP="00385C1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62681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7C7E6D" w14:textId="77777777" w:rsidR="00DE47C7" w:rsidRPr="00626813" w:rsidRDefault="00DE47C7" w:rsidP="00385C1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62681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AF477" w14:textId="77777777" w:rsidR="00DE47C7" w:rsidRPr="00626813" w:rsidRDefault="00DE47C7" w:rsidP="00385C1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62681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513D0B" w14:textId="2269F82C" w:rsidR="00DE47C7" w:rsidRPr="00626813" w:rsidRDefault="00426B98" w:rsidP="00385C1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62681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3.</w:t>
            </w:r>
            <w:r w:rsidR="00DE47C7" w:rsidRPr="0062681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77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9F913C" w14:textId="153BAE56" w:rsidR="00DE47C7" w:rsidRPr="00626813" w:rsidRDefault="00426B98" w:rsidP="00385C1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62681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2.</w:t>
            </w:r>
            <w:r w:rsidR="00DE47C7" w:rsidRPr="0062681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73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937428" w14:textId="77777777" w:rsidR="00DE47C7" w:rsidRPr="00626813" w:rsidRDefault="00DE47C7" w:rsidP="00385C1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62681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DBCF57" w14:textId="77777777" w:rsidR="00DE47C7" w:rsidRPr="00626813" w:rsidRDefault="00DE47C7" w:rsidP="00385C1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62681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AE07E8" w14:textId="77777777" w:rsidR="00DE47C7" w:rsidRPr="00626813" w:rsidRDefault="00DE47C7" w:rsidP="00385C1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62681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DE47C7" w:rsidRPr="00626813" w14:paraId="6B3DF47D" w14:textId="77777777" w:rsidTr="00C52190">
        <w:trPr>
          <w:trHeight w:val="683"/>
        </w:trPr>
        <w:tc>
          <w:tcPr>
            <w:tcW w:w="1025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C81797" w14:textId="43772F95" w:rsidR="00DE47C7" w:rsidRPr="00626813" w:rsidRDefault="00DE47C7" w:rsidP="00385C1A">
            <w:pPr>
              <w:jc w:val="both"/>
              <w:rPr>
                <w:rFonts w:ascii="Palatino Linotype" w:hAnsi="Palatino Linotype" w:cs="Calibri"/>
                <w:color w:val="000000"/>
                <w:sz w:val="20"/>
                <w:szCs w:val="20"/>
                <w:lang w:val="en-US"/>
              </w:rPr>
            </w:pPr>
            <w:r w:rsidRPr="00626813">
              <w:rPr>
                <w:rFonts w:ascii="Palatino Linotype" w:hAnsi="Palatino Linotype" w:cs="Calibri"/>
                <w:color w:val="000000"/>
                <w:sz w:val="20"/>
                <w:szCs w:val="20"/>
                <w:lang w:val="en-US"/>
              </w:rPr>
              <w:t xml:space="preserve">Abbreviations:  early recurrence (ER), no early recurrence (NER), degrees of freedom (df), standard deviation (std), Cohen's D (d), Confidence Interval (CI), p-value (p).  * The </w:t>
            </w:r>
            <w:r w:rsidRPr="00626813">
              <w:rPr>
                <w:rFonts w:ascii="Palatino Linotype" w:hAnsi="Palatino Linotype" w:cs="Calibri"/>
                <w:i/>
                <w:iCs/>
                <w:color w:val="000000"/>
                <w:sz w:val="20"/>
                <w:szCs w:val="20"/>
                <w:lang w:val="en-US"/>
              </w:rPr>
              <w:t>t</w:t>
            </w:r>
            <w:r w:rsidRPr="00626813">
              <w:rPr>
                <w:rFonts w:ascii="Palatino Linotype" w:hAnsi="Palatino Linotype" w:cs="Calibri"/>
                <w:color w:val="000000"/>
                <w:sz w:val="20"/>
                <w:szCs w:val="20"/>
                <w:lang w:val="en-US"/>
              </w:rPr>
              <w:t xml:space="preserve"> and the </w:t>
            </w:r>
            <w:r w:rsidRPr="00626813">
              <w:rPr>
                <w:rFonts w:ascii="Palatino Linotype" w:hAnsi="Palatino Linotype" w:cs="Calibri"/>
                <w:i/>
                <w:iCs/>
                <w:color w:val="000000"/>
                <w:sz w:val="20"/>
                <w:szCs w:val="20"/>
                <w:lang w:val="en-US"/>
              </w:rPr>
              <w:t>df</w:t>
            </w:r>
            <w:r w:rsidRPr="00626813">
              <w:rPr>
                <w:rFonts w:ascii="Palatino Linotype" w:hAnsi="Palatino Linotype" w:cs="Calibri"/>
                <w:color w:val="000000"/>
                <w:sz w:val="20"/>
                <w:szCs w:val="20"/>
                <w:lang w:val="en-US"/>
              </w:rPr>
              <w:t xml:space="preserve"> (=2.13) were adjusted because variances were not equal)</w:t>
            </w:r>
          </w:p>
        </w:tc>
      </w:tr>
    </w:tbl>
    <w:p w14:paraId="42D94A2F" w14:textId="77777777" w:rsidR="00DE47C7" w:rsidRPr="00626813" w:rsidRDefault="00DE47C7" w:rsidP="00385C1A">
      <w:pPr>
        <w:jc w:val="both"/>
        <w:rPr>
          <w:lang w:val="en-US"/>
        </w:rPr>
      </w:pPr>
    </w:p>
    <w:p w14:paraId="24FFC0C5" w14:textId="77777777" w:rsidR="00DE47C7" w:rsidRPr="00626813" w:rsidRDefault="00DE47C7" w:rsidP="00385C1A">
      <w:pPr>
        <w:jc w:val="both"/>
        <w:rPr>
          <w:lang w:val="en-US"/>
        </w:rPr>
      </w:pPr>
    </w:p>
    <w:p w14:paraId="02931B4A" w14:textId="77777777" w:rsidR="00DE47C7" w:rsidRPr="00626813" w:rsidRDefault="00DE47C7" w:rsidP="00385C1A">
      <w:pPr>
        <w:jc w:val="both"/>
        <w:rPr>
          <w:lang w:val="en-US"/>
        </w:rPr>
      </w:pPr>
    </w:p>
    <w:p w14:paraId="608A9190" w14:textId="77777777" w:rsidR="00DE47C7" w:rsidRPr="00626813" w:rsidRDefault="00DE47C7" w:rsidP="00385C1A">
      <w:pPr>
        <w:jc w:val="both"/>
        <w:rPr>
          <w:lang w:val="en-US"/>
        </w:rPr>
      </w:pPr>
    </w:p>
    <w:tbl>
      <w:tblPr>
        <w:tblW w:w="9560" w:type="dxa"/>
        <w:tblLook w:val="04A0" w:firstRow="1" w:lastRow="0" w:firstColumn="1" w:lastColumn="0" w:noHBand="0" w:noVBand="1"/>
      </w:tblPr>
      <w:tblGrid>
        <w:gridCol w:w="1469"/>
        <w:gridCol w:w="827"/>
        <w:gridCol w:w="743"/>
        <w:gridCol w:w="661"/>
        <w:gridCol w:w="1476"/>
        <w:gridCol w:w="581"/>
        <w:gridCol w:w="826"/>
        <w:gridCol w:w="743"/>
        <w:gridCol w:w="500"/>
        <w:gridCol w:w="1476"/>
        <w:gridCol w:w="581"/>
      </w:tblGrid>
      <w:tr w:rsidR="00DE47C7" w:rsidRPr="00626813" w14:paraId="60E8F47B" w14:textId="77777777" w:rsidTr="009C73C4">
        <w:trPr>
          <w:trHeight w:val="578"/>
        </w:trPr>
        <w:tc>
          <w:tcPr>
            <w:tcW w:w="95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FF3D8C" w14:textId="3CEFB03B" w:rsidR="00DE47C7" w:rsidRPr="00626813" w:rsidRDefault="00DE47C7" w:rsidP="00385C1A">
            <w:pPr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62681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>Sup</w:t>
            </w:r>
            <w:r w:rsidR="00CF0B65" w:rsidRPr="0062681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>p</w:t>
            </w:r>
            <w:r w:rsidRPr="0062681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>lementary Table 2. Analysis of peaks, two-sided t-test, comparing between NER and ER patient groups at different time points for total number of peaks and average peak score.</w:t>
            </w:r>
          </w:p>
        </w:tc>
      </w:tr>
      <w:tr w:rsidR="00DE47C7" w:rsidRPr="00626813" w14:paraId="6897010E" w14:textId="77777777" w:rsidTr="009C73C4">
        <w:trPr>
          <w:trHeight w:val="300"/>
        </w:trPr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7FD9B" w14:textId="77777777" w:rsidR="00DE47C7" w:rsidRPr="00626813" w:rsidRDefault="00DE47C7" w:rsidP="00385C1A">
            <w:pPr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904DE" w14:textId="77777777" w:rsidR="00DE47C7" w:rsidRPr="00626813" w:rsidRDefault="00DE47C7" w:rsidP="00385C1A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C7F28" w14:textId="77777777" w:rsidR="00DE47C7" w:rsidRPr="00626813" w:rsidRDefault="00DE47C7" w:rsidP="00385C1A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6F873" w14:textId="77777777" w:rsidR="00DE47C7" w:rsidRPr="00626813" w:rsidRDefault="00DE47C7" w:rsidP="00385C1A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6223A" w14:textId="77777777" w:rsidR="00DE47C7" w:rsidRPr="00626813" w:rsidRDefault="00DE47C7" w:rsidP="00385C1A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BEBBA" w14:textId="77777777" w:rsidR="00DE47C7" w:rsidRPr="00626813" w:rsidRDefault="00DE47C7" w:rsidP="00385C1A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F248D" w14:textId="77777777" w:rsidR="00DE47C7" w:rsidRPr="00626813" w:rsidRDefault="00DE47C7" w:rsidP="00385C1A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9F0DE" w14:textId="77777777" w:rsidR="00DE47C7" w:rsidRPr="00626813" w:rsidRDefault="00DE47C7" w:rsidP="00385C1A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A3E9B" w14:textId="77777777" w:rsidR="00DE47C7" w:rsidRPr="00626813" w:rsidRDefault="00DE47C7" w:rsidP="00385C1A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07E81" w14:textId="77777777" w:rsidR="00DE47C7" w:rsidRPr="00626813" w:rsidRDefault="00DE47C7" w:rsidP="00385C1A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1C532" w14:textId="77777777" w:rsidR="00DE47C7" w:rsidRPr="00626813" w:rsidRDefault="00DE47C7" w:rsidP="00385C1A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DE47C7" w:rsidRPr="00626813" w14:paraId="01AC21B6" w14:textId="77777777" w:rsidTr="009C73C4">
        <w:trPr>
          <w:trHeight w:val="300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105387" w14:textId="77777777" w:rsidR="00DE47C7" w:rsidRPr="00626813" w:rsidRDefault="00DE47C7" w:rsidP="00385C1A">
            <w:pPr>
              <w:jc w:val="both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626813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809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1610291" w14:textId="77777777" w:rsidR="00DE47C7" w:rsidRPr="00626813" w:rsidRDefault="00DE47C7" w:rsidP="00385C1A">
            <w:pPr>
              <w:jc w:val="both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8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All peak locations, NER (n=3) vs ER (n=4), df = 5</w:t>
            </w:r>
          </w:p>
        </w:tc>
      </w:tr>
      <w:tr w:rsidR="00DE47C7" w:rsidRPr="00626813" w14:paraId="6427E3BB" w14:textId="77777777" w:rsidTr="009C73C4">
        <w:trPr>
          <w:trHeight w:val="300"/>
        </w:trPr>
        <w:tc>
          <w:tcPr>
            <w:tcW w:w="14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5FCF7" w14:textId="77777777" w:rsidR="00DE47C7" w:rsidRPr="00626813" w:rsidRDefault="00DE47C7" w:rsidP="00385C1A">
            <w:pPr>
              <w:jc w:val="both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626813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4150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165765" w14:textId="77777777" w:rsidR="00DE47C7" w:rsidRPr="00626813" w:rsidRDefault="00DE47C7" w:rsidP="00385C1A">
            <w:pPr>
              <w:jc w:val="both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8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Week 1 </w:t>
            </w:r>
          </w:p>
        </w:tc>
        <w:tc>
          <w:tcPr>
            <w:tcW w:w="3941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023B01C" w14:textId="77777777" w:rsidR="00DE47C7" w:rsidRPr="00626813" w:rsidRDefault="00DE47C7" w:rsidP="00385C1A">
            <w:pPr>
              <w:jc w:val="both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8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Week 6</w:t>
            </w:r>
          </w:p>
        </w:tc>
      </w:tr>
      <w:tr w:rsidR="00DE47C7" w:rsidRPr="00626813" w14:paraId="48EFCDB3" w14:textId="77777777" w:rsidTr="009C73C4">
        <w:trPr>
          <w:trHeight w:val="315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87AA9" w14:textId="77777777" w:rsidR="00DE47C7" w:rsidRPr="00626813" w:rsidRDefault="00DE47C7" w:rsidP="00385C1A">
            <w:pPr>
              <w:jc w:val="both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8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Variable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669DA9" w14:textId="77777777" w:rsidR="00DE47C7" w:rsidRPr="00626813" w:rsidRDefault="00DE47C7" w:rsidP="00385C1A">
            <w:pPr>
              <w:jc w:val="both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8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mean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BAFDF7" w14:textId="77777777" w:rsidR="00DE47C7" w:rsidRPr="00626813" w:rsidRDefault="00DE47C7" w:rsidP="00385C1A">
            <w:pPr>
              <w:jc w:val="both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8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std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ADAE98" w14:textId="77777777" w:rsidR="00DE47C7" w:rsidRPr="00626813" w:rsidRDefault="00DE47C7" w:rsidP="00385C1A">
            <w:pPr>
              <w:jc w:val="both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8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t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0FE119" w14:textId="77777777" w:rsidR="00DE47C7" w:rsidRPr="00626813" w:rsidRDefault="00DE47C7" w:rsidP="00385C1A">
            <w:pPr>
              <w:jc w:val="both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8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d (CI)</w:t>
            </w:r>
          </w:p>
        </w:tc>
        <w:tc>
          <w:tcPr>
            <w:tcW w:w="5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B5ACA" w14:textId="77777777" w:rsidR="00DE47C7" w:rsidRPr="00626813" w:rsidRDefault="00DE47C7" w:rsidP="00385C1A">
            <w:pPr>
              <w:jc w:val="both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8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p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16E801" w14:textId="77777777" w:rsidR="00DE47C7" w:rsidRPr="00626813" w:rsidRDefault="00DE47C7" w:rsidP="00385C1A">
            <w:pPr>
              <w:jc w:val="both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8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mean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CF2224" w14:textId="77777777" w:rsidR="00DE47C7" w:rsidRPr="00626813" w:rsidRDefault="00DE47C7" w:rsidP="00385C1A">
            <w:pPr>
              <w:jc w:val="both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8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std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5D8642" w14:textId="77777777" w:rsidR="00DE47C7" w:rsidRPr="00626813" w:rsidRDefault="00DE47C7" w:rsidP="00385C1A">
            <w:pPr>
              <w:jc w:val="both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8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t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F4813F" w14:textId="77777777" w:rsidR="00DE47C7" w:rsidRPr="00626813" w:rsidRDefault="00DE47C7" w:rsidP="00385C1A">
            <w:pPr>
              <w:jc w:val="both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8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d (CI)</w:t>
            </w:r>
          </w:p>
        </w:tc>
        <w:tc>
          <w:tcPr>
            <w:tcW w:w="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0F1D9C" w14:textId="77777777" w:rsidR="00DE47C7" w:rsidRPr="00626813" w:rsidRDefault="00DE47C7" w:rsidP="00385C1A">
            <w:pPr>
              <w:jc w:val="both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8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p</w:t>
            </w:r>
          </w:p>
        </w:tc>
      </w:tr>
      <w:tr w:rsidR="00DE47C7" w:rsidRPr="00626813" w14:paraId="1F4800C2" w14:textId="77777777" w:rsidTr="009C73C4">
        <w:trPr>
          <w:trHeight w:val="300"/>
        </w:trPr>
        <w:tc>
          <w:tcPr>
            <w:tcW w:w="14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338C0" w14:textId="77777777" w:rsidR="00DE47C7" w:rsidRPr="00626813" w:rsidRDefault="00DE47C7" w:rsidP="00385C1A">
            <w:pPr>
              <w:jc w:val="both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8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# peaks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4E6BB" w14:textId="77777777" w:rsidR="00DE47C7" w:rsidRPr="00626813" w:rsidRDefault="00DE47C7" w:rsidP="00385C1A">
            <w:pPr>
              <w:jc w:val="both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46AA1" w14:textId="77777777" w:rsidR="00DE47C7" w:rsidRPr="00626813" w:rsidRDefault="00DE47C7" w:rsidP="00385C1A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B5C09" w14:textId="77777777" w:rsidR="00DE47C7" w:rsidRPr="00626813" w:rsidRDefault="00DE47C7" w:rsidP="00385C1A">
            <w:pPr>
              <w:jc w:val="both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626813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0.424*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68BEE" w14:textId="77777777" w:rsidR="00DE47C7" w:rsidRPr="00626813" w:rsidRDefault="00DE47C7" w:rsidP="00385C1A">
            <w:pPr>
              <w:jc w:val="both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626813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0.29 (-1.23, 1.79)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2E7F4" w14:textId="722925F9" w:rsidR="00DE47C7" w:rsidRPr="00626813" w:rsidRDefault="009C73C4" w:rsidP="00385C1A">
            <w:pPr>
              <w:jc w:val="both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626813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0.</w:t>
            </w:r>
            <w:r w:rsidR="00DE47C7" w:rsidRPr="00626813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691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941D9" w14:textId="77777777" w:rsidR="00DE47C7" w:rsidRPr="00626813" w:rsidRDefault="00DE47C7" w:rsidP="00385C1A">
            <w:pPr>
              <w:jc w:val="both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0033E" w14:textId="77777777" w:rsidR="00DE47C7" w:rsidRPr="00626813" w:rsidRDefault="00DE47C7" w:rsidP="00385C1A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91A19" w14:textId="6FD60B20" w:rsidR="00DE47C7" w:rsidRPr="00626813" w:rsidRDefault="009C73C4" w:rsidP="00385C1A">
            <w:pPr>
              <w:jc w:val="both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626813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1.</w:t>
            </w:r>
            <w:r w:rsidR="00DE47C7" w:rsidRPr="00626813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64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AE9E2" w14:textId="77777777" w:rsidR="00DE47C7" w:rsidRPr="00626813" w:rsidRDefault="00DE47C7" w:rsidP="00385C1A">
            <w:pPr>
              <w:jc w:val="both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626813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1.25 (-0.47, 2.88)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6B2A70" w14:textId="71CE02CF" w:rsidR="00DE47C7" w:rsidRPr="00626813" w:rsidRDefault="009C73C4" w:rsidP="00385C1A">
            <w:pPr>
              <w:jc w:val="both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626813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0.</w:t>
            </w:r>
            <w:r w:rsidR="00DE47C7" w:rsidRPr="00626813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162</w:t>
            </w:r>
          </w:p>
        </w:tc>
      </w:tr>
      <w:tr w:rsidR="00DE47C7" w:rsidRPr="00626813" w14:paraId="6DB9AA65" w14:textId="77777777" w:rsidTr="009C73C4">
        <w:trPr>
          <w:trHeight w:val="300"/>
        </w:trPr>
        <w:tc>
          <w:tcPr>
            <w:tcW w:w="14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1D816" w14:textId="77777777" w:rsidR="00DE47C7" w:rsidRPr="00626813" w:rsidRDefault="00DE47C7" w:rsidP="00385C1A">
            <w:pPr>
              <w:jc w:val="both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626813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NER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B9403" w14:textId="22FCD680" w:rsidR="00DE47C7" w:rsidRPr="00626813" w:rsidRDefault="00DE47C7" w:rsidP="00385C1A">
            <w:pPr>
              <w:jc w:val="both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626813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131</w:t>
            </w:r>
            <w:r w:rsidR="009C73C4" w:rsidRPr="00626813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13.</w:t>
            </w:r>
            <w:r w:rsidRPr="00626813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67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A36FF" w14:textId="46E821DD" w:rsidR="00DE47C7" w:rsidRPr="00626813" w:rsidRDefault="009C73C4" w:rsidP="00385C1A">
            <w:pPr>
              <w:jc w:val="both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626813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1108.</w:t>
            </w:r>
            <w:r w:rsidR="00DE47C7" w:rsidRPr="00626813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36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C8A70" w14:textId="77777777" w:rsidR="00DE47C7" w:rsidRPr="00626813" w:rsidRDefault="00DE47C7" w:rsidP="00385C1A">
            <w:pPr>
              <w:jc w:val="both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7AE33" w14:textId="77777777" w:rsidR="00DE47C7" w:rsidRPr="00626813" w:rsidRDefault="00DE47C7" w:rsidP="00385C1A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2A741" w14:textId="77777777" w:rsidR="00DE47C7" w:rsidRPr="00626813" w:rsidRDefault="00DE47C7" w:rsidP="00385C1A">
            <w:pPr>
              <w:jc w:val="both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626813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74274" w14:textId="0002352D" w:rsidR="00DE47C7" w:rsidRPr="00626813" w:rsidRDefault="009C73C4" w:rsidP="00385C1A">
            <w:pPr>
              <w:jc w:val="both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626813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14773.</w:t>
            </w:r>
            <w:r w:rsidR="00DE47C7" w:rsidRPr="00626813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00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D2DCF" w14:textId="4B1EF662" w:rsidR="00DE47C7" w:rsidRPr="00626813" w:rsidRDefault="009C73C4" w:rsidP="00385C1A">
            <w:pPr>
              <w:jc w:val="both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626813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3655.</w:t>
            </w:r>
            <w:r w:rsidR="00DE47C7" w:rsidRPr="00626813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31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35DF4" w14:textId="77777777" w:rsidR="00DE47C7" w:rsidRPr="00626813" w:rsidRDefault="00DE47C7" w:rsidP="00385C1A">
            <w:pPr>
              <w:jc w:val="both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827DE" w14:textId="77777777" w:rsidR="00DE47C7" w:rsidRPr="00626813" w:rsidRDefault="00DE47C7" w:rsidP="00385C1A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7E3B68" w14:textId="77777777" w:rsidR="00DE47C7" w:rsidRPr="00626813" w:rsidRDefault="00DE47C7" w:rsidP="00385C1A">
            <w:pPr>
              <w:jc w:val="both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626813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DE47C7" w:rsidRPr="00626813" w14:paraId="3C4C2A25" w14:textId="77777777" w:rsidTr="009C73C4">
        <w:trPr>
          <w:trHeight w:val="300"/>
        </w:trPr>
        <w:tc>
          <w:tcPr>
            <w:tcW w:w="14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AC594" w14:textId="77777777" w:rsidR="00DE47C7" w:rsidRPr="00626813" w:rsidRDefault="00DE47C7" w:rsidP="00385C1A">
            <w:pPr>
              <w:jc w:val="both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626813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ER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A6CFF" w14:textId="02779467" w:rsidR="00DE47C7" w:rsidRPr="00626813" w:rsidRDefault="009C73C4" w:rsidP="00385C1A">
            <w:pPr>
              <w:jc w:val="both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626813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12591.</w:t>
            </w:r>
            <w:r w:rsidR="00DE47C7" w:rsidRPr="00626813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75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44F40" w14:textId="79EE75E3" w:rsidR="00DE47C7" w:rsidRPr="00626813" w:rsidRDefault="009C73C4" w:rsidP="00385C1A">
            <w:pPr>
              <w:jc w:val="both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626813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2105.</w:t>
            </w:r>
            <w:r w:rsidR="00DE47C7" w:rsidRPr="00626813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31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11134" w14:textId="77777777" w:rsidR="00DE47C7" w:rsidRPr="00626813" w:rsidRDefault="00DE47C7" w:rsidP="00385C1A">
            <w:pPr>
              <w:jc w:val="both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DF89F" w14:textId="77777777" w:rsidR="00DE47C7" w:rsidRPr="00626813" w:rsidRDefault="00DE47C7" w:rsidP="00385C1A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7A1A3" w14:textId="77777777" w:rsidR="00DE47C7" w:rsidRPr="00626813" w:rsidRDefault="00DE47C7" w:rsidP="00385C1A">
            <w:pPr>
              <w:jc w:val="both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626813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0B4B1" w14:textId="02D36F56" w:rsidR="00DE47C7" w:rsidRPr="00626813" w:rsidRDefault="009C73C4" w:rsidP="00385C1A">
            <w:pPr>
              <w:jc w:val="both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626813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11011.</w:t>
            </w:r>
            <w:r w:rsidR="00DE47C7" w:rsidRPr="00626813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0D944" w14:textId="6E24CBE8" w:rsidR="00DE47C7" w:rsidRPr="00626813" w:rsidRDefault="009C73C4" w:rsidP="00385C1A">
            <w:pPr>
              <w:jc w:val="both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626813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2470.</w:t>
            </w:r>
            <w:r w:rsidR="00DE47C7" w:rsidRPr="00626813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82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C0648" w14:textId="77777777" w:rsidR="00DE47C7" w:rsidRPr="00626813" w:rsidRDefault="00DE47C7" w:rsidP="00385C1A">
            <w:pPr>
              <w:jc w:val="both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9C64F" w14:textId="77777777" w:rsidR="00DE47C7" w:rsidRPr="00626813" w:rsidRDefault="00DE47C7" w:rsidP="00385C1A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E9897D" w14:textId="77777777" w:rsidR="00DE47C7" w:rsidRPr="00626813" w:rsidRDefault="00DE47C7" w:rsidP="00385C1A">
            <w:pPr>
              <w:jc w:val="both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626813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DE47C7" w:rsidRPr="00626813" w14:paraId="6CE9AE32" w14:textId="77777777" w:rsidTr="009C73C4">
        <w:trPr>
          <w:trHeight w:val="300"/>
        </w:trPr>
        <w:tc>
          <w:tcPr>
            <w:tcW w:w="14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9ADF3" w14:textId="77777777" w:rsidR="00DE47C7" w:rsidRPr="00626813" w:rsidRDefault="00DE47C7" w:rsidP="00385C1A">
            <w:pPr>
              <w:jc w:val="both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8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mean peak score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31B52" w14:textId="77777777" w:rsidR="00DE47C7" w:rsidRPr="00626813" w:rsidRDefault="00DE47C7" w:rsidP="00385C1A">
            <w:pPr>
              <w:jc w:val="both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BDCAD" w14:textId="77777777" w:rsidR="00DE47C7" w:rsidRPr="00626813" w:rsidRDefault="00DE47C7" w:rsidP="00385C1A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DA20D" w14:textId="08FF6D7F" w:rsidR="00DE47C7" w:rsidRPr="00626813" w:rsidRDefault="009C73C4" w:rsidP="00385C1A">
            <w:pPr>
              <w:jc w:val="both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626813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1.</w:t>
            </w:r>
            <w:r w:rsidR="00DE47C7" w:rsidRPr="00626813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593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EB852" w14:textId="77777777" w:rsidR="00DE47C7" w:rsidRPr="00626813" w:rsidRDefault="00DE47C7" w:rsidP="00385C1A">
            <w:pPr>
              <w:jc w:val="both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626813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1.22 (-0.50, 2.84)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1F555" w14:textId="0FC73AC5" w:rsidR="00DE47C7" w:rsidRPr="00626813" w:rsidRDefault="009C73C4" w:rsidP="00385C1A">
            <w:pPr>
              <w:jc w:val="both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626813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0.</w:t>
            </w:r>
            <w:r w:rsidR="00DE47C7" w:rsidRPr="00626813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086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DAC05" w14:textId="77777777" w:rsidR="00DE47C7" w:rsidRPr="00626813" w:rsidRDefault="00DE47C7" w:rsidP="00385C1A">
            <w:pPr>
              <w:jc w:val="both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D3C78" w14:textId="77777777" w:rsidR="00DE47C7" w:rsidRPr="00626813" w:rsidRDefault="00DE47C7" w:rsidP="00385C1A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59CC9" w14:textId="1D46AC1C" w:rsidR="00DE47C7" w:rsidRPr="00626813" w:rsidRDefault="009C73C4" w:rsidP="00385C1A">
            <w:pPr>
              <w:jc w:val="both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626813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1.</w:t>
            </w:r>
            <w:r w:rsidR="00DE47C7" w:rsidRPr="00626813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11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CB904" w14:textId="77777777" w:rsidR="00DE47C7" w:rsidRPr="00626813" w:rsidRDefault="00DE47C7" w:rsidP="00385C1A">
            <w:pPr>
              <w:jc w:val="both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626813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0.84 (-0.77, 2.39)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B29ACE" w14:textId="716B1719" w:rsidR="00DE47C7" w:rsidRPr="00626813" w:rsidRDefault="009C73C4" w:rsidP="00385C1A">
            <w:pPr>
              <w:jc w:val="both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626813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0.</w:t>
            </w:r>
            <w:r w:rsidR="00DE47C7" w:rsidRPr="00626813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319</w:t>
            </w:r>
          </w:p>
        </w:tc>
      </w:tr>
      <w:tr w:rsidR="00DE47C7" w:rsidRPr="00626813" w14:paraId="135C3971" w14:textId="77777777" w:rsidTr="009C73C4">
        <w:trPr>
          <w:trHeight w:val="300"/>
        </w:trPr>
        <w:tc>
          <w:tcPr>
            <w:tcW w:w="14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C9A71" w14:textId="77777777" w:rsidR="00DE47C7" w:rsidRPr="00626813" w:rsidRDefault="00DE47C7" w:rsidP="00385C1A">
            <w:pPr>
              <w:jc w:val="both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626813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NER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DB8A4" w14:textId="0976628F" w:rsidR="00DE47C7" w:rsidRPr="00626813" w:rsidRDefault="009C73C4" w:rsidP="00385C1A">
            <w:pPr>
              <w:jc w:val="both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626813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251.</w:t>
            </w:r>
            <w:r w:rsidR="00DE47C7" w:rsidRPr="00626813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52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15261" w14:textId="7D58BFC4" w:rsidR="00DE47C7" w:rsidRPr="00626813" w:rsidRDefault="009C73C4" w:rsidP="00385C1A">
            <w:pPr>
              <w:jc w:val="both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626813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130.</w:t>
            </w:r>
            <w:r w:rsidR="00DE47C7" w:rsidRPr="00626813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99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2352C" w14:textId="77777777" w:rsidR="00DE47C7" w:rsidRPr="00626813" w:rsidRDefault="00DE47C7" w:rsidP="00385C1A">
            <w:pPr>
              <w:jc w:val="both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E9BF9" w14:textId="77777777" w:rsidR="00DE47C7" w:rsidRPr="00626813" w:rsidRDefault="00DE47C7" w:rsidP="00385C1A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261C5" w14:textId="77777777" w:rsidR="00DE47C7" w:rsidRPr="00626813" w:rsidRDefault="00DE47C7" w:rsidP="00385C1A">
            <w:pPr>
              <w:jc w:val="both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626813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D92E5" w14:textId="62EEFB08" w:rsidR="00DE47C7" w:rsidRPr="00626813" w:rsidRDefault="009C73C4" w:rsidP="00385C1A">
            <w:pPr>
              <w:jc w:val="both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626813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194.</w:t>
            </w:r>
            <w:r w:rsidR="00DE47C7" w:rsidRPr="00626813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31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903E0" w14:textId="29D01AC4" w:rsidR="00DE47C7" w:rsidRPr="00626813" w:rsidRDefault="009C73C4" w:rsidP="00385C1A">
            <w:pPr>
              <w:jc w:val="both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626813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96.</w:t>
            </w:r>
            <w:r w:rsidR="00DE47C7" w:rsidRPr="00626813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37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69A6A" w14:textId="77777777" w:rsidR="00DE47C7" w:rsidRPr="00626813" w:rsidRDefault="00DE47C7" w:rsidP="00385C1A">
            <w:pPr>
              <w:jc w:val="both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ECB59" w14:textId="77777777" w:rsidR="00DE47C7" w:rsidRPr="00626813" w:rsidRDefault="00DE47C7" w:rsidP="00385C1A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CBCBF4" w14:textId="77777777" w:rsidR="00DE47C7" w:rsidRPr="00626813" w:rsidRDefault="00DE47C7" w:rsidP="00385C1A">
            <w:pPr>
              <w:jc w:val="both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626813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DE47C7" w:rsidRPr="00626813" w14:paraId="07963061" w14:textId="77777777" w:rsidTr="009C73C4">
        <w:trPr>
          <w:trHeight w:val="300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469CF" w14:textId="77777777" w:rsidR="00DE47C7" w:rsidRPr="00626813" w:rsidRDefault="00DE47C7" w:rsidP="00385C1A">
            <w:pPr>
              <w:jc w:val="both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626813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ER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C0829" w14:textId="79E13454" w:rsidR="00DE47C7" w:rsidRPr="00626813" w:rsidRDefault="009C73C4" w:rsidP="00385C1A">
            <w:pPr>
              <w:jc w:val="both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626813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130.</w:t>
            </w:r>
            <w:r w:rsidR="00DE47C7" w:rsidRPr="00626813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1DE31" w14:textId="35C470AA" w:rsidR="00DE47C7" w:rsidRPr="00626813" w:rsidRDefault="009C73C4" w:rsidP="00385C1A">
            <w:pPr>
              <w:jc w:val="both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626813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71.</w:t>
            </w:r>
            <w:r w:rsidR="00DE47C7" w:rsidRPr="00626813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88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5DAB5" w14:textId="77777777" w:rsidR="00DE47C7" w:rsidRPr="00626813" w:rsidRDefault="00DE47C7" w:rsidP="00385C1A">
            <w:pPr>
              <w:jc w:val="both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45AF3" w14:textId="77777777" w:rsidR="00DE47C7" w:rsidRPr="00626813" w:rsidRDefault="00DE47C7" w:rsidP="00385C1A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1E63B" w14:textId="77777777" w:rsidR="00DE47C7" w:rsidRPr="00626813" w:rsidRDefault="00DE47C7" w:rsidP="00385C1A">
            <w:pPr>
              <w:jc w:val="both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626813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A49FD" w14:textId="6A30BF30" w:rsidR="00DE47C7" w:rsidRPr="00626813" w:rsidRDefault="009C73C4" w:rsidP="00385C1A">
            <w:pPr>
              <w:jc w:val="both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626813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135.</w:t>
            </w:r>
            <w:r w:rsidR="00DE47C7" w:rsidRPr="00626813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18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53F9B" w14:textId="1707E97F" w:rsidR="00DE47C7" w:rsidRPr="00626813" w:rsidRDefault="009C73C4" w:rsidP="00385C1A">
            <w:pPr>
              <w:jc w:val="both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626813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44.</w:t>
            </w:r>
            <w:r w:rsidR="00DE47C7" w:rsidRPr="00626813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60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60F32" w14:textId="77777777" w:rsidR="00DE47C7" w:rsidRPr="00626813" w:rsidRDefault="00DE47C7" w:rsidP="00385C1A">
            <w:pPr>
              <w:jc w:val="both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1F4F6" w14:textId="77777777" w:rsidR="00DE47C7" w:rsidRPr="00626813" w:rsidRDefault="00DE47C7" w:rsidP="00385C1A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8F6EB0" w14:textId="77777777" w:rsidR="00DE47C7" w:rsidRPr="00626813" w:rsidRDefault="00DE47C7" w:rsidP="00385C1A">
            <w:pPr>
              <w:jc w:val="both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626813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DE47C7" w:rsidRPr="00626813" w14:paraId="20D7241C" w14:textId="77777777" w:rsidTr="009C73C4">
        <w:trPr>
          <w:trHeight w:val="300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CAB5EF" w14:textId="77777777" w:rsidR="00DE47C7" w:rsidRPr="00626813" w:rsidRDefault="00DE47C7" w:rsidP="00385C1A">
            <w:pPr>
              <w:jc w:val="both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626813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809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6B24A3F" w14:textId="77777777" w:rsidR="00DE47C7" w:rsidRPr="00626813" w:rsidRDefault="00DE47C7" w:rsidP="00385C1A">
            <w:pPr>
              <w:jc w:val="both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8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Selected peak locations, NER (n=3) vs ER (n=4), df = 5</w:t>
            </w:r>
          </w:p>
        </w:tc>
      </w:tr>
      <w:tr w:rsidR="00DE47C7" w:rsidRPr="00626813" w14:paraId="1073478D" w14:textId="77777777" w:rsidTr="009C73C4">
        <w:trPr>
          <w:trHeight w:val="300"/>
        </w:trPr>
        <w:tc>
          <w:tcPr>
            <w:tcW w:w="14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11C1D" w14:textId="77777777" w:rsidR="00DE47C7" w:rsidRPr="00626813" w:rsidRDefault="00DE47C7" w:rsidP="00385C1A">
            <w:pPr>
              <w:jc w:val="both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8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# peaks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06B7C" w14:textId="77777777" w:rsidR="00DE47C7" w:rsidRPr="00626813" w:rsidRDefault="00DE47C7" w:rsidP="00385C1A">
            <w:pPr>
              <w:jc w:val="both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86411" w14:textId="77777777" w:rsidR="00DE47C7" w:rsidRPr="00626813" w:rsidRDefault="00DE47C7" w:rsidP="00385C1A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3A8EE" w14:textId="760B2BEA" w:rsidR="00DE47C7" w:rsidRPr="00626813" w:rsidRDefault="00613152" w:rsidP="00385C1A">
            <w:pPr>
              <w:jc w:val="both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626813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3.</w:t>
            </w:r>
            <w:r w:rsidR="00DE47C7" w:rsidRPr="00626813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62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49A9D" w14:textId="77777777" w:rsidR="00DE47C7" w:rsidRPr="00626813" w:rsidRDefault="00DE47C7" w:rsidP="00385C1A">
            <w:pPr>
              <w:jc w:val="both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626813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2.76 (0.47, 4.95)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C3F18" w14:textId="0774D1E7" w:rsidR="00DE47C7" w:rsidRPr="00626813" w:rsidRDefault="00613152" w:rsidP="00385C1A">
            <w:pPr>
              <w:jc w:val="both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626813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0.</w:t>
            </w:r>
            <w:r w:rsidR="00DE47C7" w:rsidRPr="00626813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015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D4F30" w14:textId="77777777" w:rsidR="00DE47C7" w:rsidRPr="00626813" w:rsidRDefault="00DE47C7" w:rsidP="00385C1A">
            <w:pPr>
              <w:jc w:val="both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3CB9D" w14:textId="77777777" w:rsidR="00DE47C7" w:rsidRPr="00626813" w:rsidRDefault="00DE47C7" w:rsidP="00385C1A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72486" w14:textId="4D0B047A" w:rsidR="00DE47C7" w:rsidRPr="00626813" w:rsidRDefault="00613152" w:rsidP="00385C1A">
            <w:pPr>
              <w:jc w:val="both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626813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7.</w:t>
            </w:r>
            <w:r w:rsidR="00DE47C7" w:rsidRPr="00626813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05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0DE08" w14:textId="77777777" w:rsidR="00DE47C7" w:rsidRPr="00626813" w:rsidRDefault="00DE47C7" w:rsidP="00385C1A">
            <w:pPr>
              <w:jc w:val="both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626813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5.39 (1.81, 8.92)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C298F8" w14:textId="652E664F" w:rsidR="00DE47C7" w:rsidRPr="00626813" w:rsidRDefault="00613152" w:rsidP="00385C1A">
            <w:pPr>
              <w:jc w:val="both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626813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0.</w:t>
            </w:r>
            <w:r w:rsidR="00DE47C7" w:rsidRPr="00626813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001</w:t>
            </w:r>
          </w:p>
        </w:tc>
      </w:tr>
      <w:tr w:rsidR="00DE47C7" w:rsidRPr="00626813" w14:paraId="33DC49FB" w14:textId="77777777" w:rsidTr="009C73C4">
        <w:trPr>
          <w:trHeight w:val="300"/>
        </w:trPr>
        <w:tc>
          <w:tcPr>
            <w:tcW w:w="14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C9D74" w14:textId="77777777" w:rsidR="00DE47C7" w:rsidRPr="00626813" w:rsidRDefault="00DE47C7" w:rsidP="00385C1A">
            <w:pPr>
              <w:jc w:val="both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626813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NER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12B93" w14:textId="7EA933E4" w:rsidR="00DE47C7" w:rsidRPr="00626813" w:rsidRDefault="00613152" w:rsidP="00385C1A">
            <w:pPr>
              <w:jc w:val="both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626813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3016.</w:t>
            </w:r>
            <w:r w:rsidR="00DE47C7" w:rsidRPr="00626813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00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1AEB2" w14:textId="6555E802" w:rsidR="00DE47C7" w:rsidRPr="00626813" w:rsidRDefault="00613152" w:rsidP="00385C1A">
            <w:pPr>
              <w:jc w:val="both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626813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974.</w:t>
            </w:r>
            <w:r w:rsidR="00DE47C7" w:rsidRPr="00626813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57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7CC16" w14:textId="77777777" w:rsidR="00DE47C7" w:rsidRPr="00626813" w:rsidRDefault="00DE47C7" w:rsidP="00385C1A">
            <w:pPr>
              <w:jc w:val="both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D57A2" w14:textId="77777777" w:rsidR="00DE47C7" w:rsidRPr="00626813" w:rsidRDefault="00DE47C7" w:rsidP="00385C1A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7D46A" w14:textId="77777777" w:rsidR="00DE47C7" w:rsidRPr="00626813" w:rsidRDefault="00DE47C7" w:rsidP="00385C1A">
            <w:pPr>
              <w:jc w:val="both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626813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CDC5E" w14:textId="2E01DFAF" w:rsidR="00DE47C7" w:rsidRPr="00626813" w:rsidRDefault="00DE47C7" w:rsidP="00385C1A">
            <w:pPr>
              <w:jc w:val="both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626813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33</w:t>
            </w:r>
            <w:r w:rsidR="00613152" w:rsidRPr="00626813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26.</w:t>
            </w:r>
            <w:r w:rsidRPr="00626813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00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EF7B7" w14:textId="04C0E97E" w:rsidR="00DE47C7" w:rsidRPr="00626813" w:rsidRDefault="00613152" w:rsidP="00385C1A">
            <w:pPr>
              <w:jc w:val="both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626813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492.</w:t>
            </w:r>
            <w:r w:rsidR="00DE47C7" w:rsidRPr="00626813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74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1DACE" w14:textId="77777777" w:rsidR="00DE47C7" w:rsidRPr="00626813" w:rsidRDefault="00DE47C7" w:rsidP="00385C1A">
            <w:pPr>
              <w:jc w:val="both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3FAF0" w14:textId="77777777" w:rsidR="00DE47C7" w:rsidRPr="00626813" w:rsidRDefault="00DE47C7" w:rsidP="00385C1A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6E8475" w14:textId="77777777" w:rsidR="00DE47C7" w:rsidRPr="00626813" w:rsidRDefault="00DE47C7" w:rsidP="00385C1A">
            <w:pPr>
              <w:jc w:val="both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626813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DE47C7" w:rsidRPr="00626813" w14:paraId="034900B2" w14:textId="77777777" w:rsidTr="009C73C4">
        <w:trPr>
          <w:trHeight w:val="300"/>
        </w:trPr>
        <w:tc>
          <w:tcPr>
            <w:tcW w:w="14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EF4FB" w14:textId="77777777" w:rsidR="00DE47C7" w:rsidRPr="00626813" w:rsidRDefault="00DE47C7" w:rsidP="00385C1A">
            <w:pPr>
              <w:jc w:val="both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626813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ER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91002" w14:textId="66380CE5" w:rsidR="00DE47C7" w:rsidRPr="00626813" w:rsidRDefault="00613152" w:rsidP="00385C1A">
            <w:pPr>
              <w:jc w:val="both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626813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1094.</w:t>
            </w:r>
            <w:r w:rsidR="00DE47C7" w:rsidRPr="00626813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75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7F9DD" w14:textId="77961EDA" w:rsidR="00DE47C7" w:rsidRPr="00626813" w:rsidRDefault="00613152" w:rsidP="00385C1A">
            <w:pPr>
              <w:jc w:val="both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626813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414.</w:t>
            </w:r>
            <w:r w:rsidR="00DE47C7" w:rsidRPr="00626813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95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964A9" w14:textId="77777777" w:rsidR="00DE47C7" w:rsidRPr="00626813" w:rsidRDefault="00DE47C7" w:rsidP="00385C1A">
            <w:pPr>
              <w:jc w:val="both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764EA" w14:textId="77777777" w:rsidR="00DE47C7" w:rsidRPr="00626813" w:rsidRDefault="00DE47C7" w:rsidP="00385C1A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71D5A" w14:textId="77777777" w:rsidR="00DE47C7" w:rsidRPr="00626813" w:rsidRDefault="00DE47C7" w:rsidP="00385C1A">
            <w:pPr>
              <w:jc w:val="both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626813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DF64F" w14:textId="27780F77" w:rsidR="00DE47C7" w:rsidRPr="00626813" w:rsidRDefault="00613152" w:rsidP="00385C1A">
            <w:pPr>
              <w:jc w:val="both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626813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780.</w:t>
            </w:r>
            <w:r w:rsidR="00DE47C7" w:rsidRPr="00626813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F3520" w14:textId="2140FC6B" w:rsidR="00DE47C7" w:rsidRPr="00626813" w:rsidRDefault="00613152" w:rsidP="00385C1A">
            <w:pPr>
              <w:jc w:val="both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626813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458.</w:t>
            </w:r>
            <w:r w:rsidR="00DE47C7" w:rsidRPr="00626813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50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5F35A" w14:textId="77777777" w:rsidR="00DE47C7" w:rsidRPr="00626813" w:rsidRDefault="00DE47C7" w:rsidP="00385C1A">
            <w:pPr>
              <w:jc w:val="both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59EBC" w14:textId="77777777" w:rsidR="00DE47C7" w:rsidRPr="00626813" w:rsidRDefault="00DE47C7" w:rsidP="00385C1A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476060" w14:textId="77777777" w:rsidR="00DE47C7" w:rsidRPr="00626813" w:rsidRDefault="00DE47C7" w:rsidP="00385C1A">
            <w:pPr>
              <w:jc w:val="both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626813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DE47C7" w:rsidRPr="00626813" w14:paraId="043F8774" w14:textId="77777777" w:rsidTr="009C73C4">
        <w:trPr>
          <w:trHeight w:val="300"/>
        </w:trPr>
        <w:tc>
          <w:tcPr>
            <w:tcW w:w="14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C5A86" w14:textId="77777777" w:rsidR="00DE47C7" w:rsidRPr="00626813" w:rsidRDefault="00DE47C7" w:rsidP="00385C1A">
            <w:pPr>
              <w:jc w:val="both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2681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val="en-US"/>
              </w:rPr>
              <w:t>mean peak score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98074" w14:textId="77777777" w:rsidR="00DE47C7" w:rsidRPr="00626813" w:rsidRDefault="00DE47C7" w:rsidP="00385C1A">
            <w:pPr>
              <w:jc w:val="both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1AE57" w14:textId="77777777" w:rsidR="00DE47C7" w:rsidRPr="00626813" w:rsidRDefault="00DE47C7" w:rsidP="00385C1A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A3565" w14:textId="2135D220" w:rsidR="00DE47C7" w:rsidRPr="00626813" w:rsidRDefault="00613152" w:rsidP="00385C1A">
            <w:pPr>
              <w:jc w:val="both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626813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2.</w:t>
            </w:r>
            <w:r w:rsidR="00DE47C7" w:rsidRPr="00626813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74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F2BDA" w14:textId="77777777" w:rsidR="00DE47C7" w:rsidRPr="00626813" w:rsidRDefault="00DE47C7" w:rsidP="00385C1A">
            <w:pPr>
              <w:jc w:val="both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626813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2.10 (.08, 4.00)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1FA99" w14:textId="0C3A3921" w:rsidR="00DE47C7" w:rsidRPr="00626813" w:rsidRDefault="00613152" w:rsidP="00385C1A">
            <w:pPr>
              <w:jc w:val="both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626813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0.</w:t>
            </w:r>
            <w:r w:rsidR="00DE47C7" w:rsidRPr="00626813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041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7A676" w14:textId="77777777" w:rsidR="00DE47C7" w:rsidRPr="00626813" w:rsidRDefault="00DE47C7" w:rsidP="00385C1A">
            <w:pPr>
              <w:jc w:val="both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9BF68" w14:textId="77777777" w:rsidR="00DE47C7" w:rsidRPr="00626813" w:rsidRDefault="00DE47C7" w:rsidP="00385C1A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0B7A5" w14:textId="32E85376" w:rsidR="00DE47C7" w:rsidRPr="00626813" w:rsidRDefault="00613152" w:rsidP="00385C1A">
            <w:pPr>
              <w:jc w:val="both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626813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2.</w:t>
            </w:r>
            <w:r w:rsidR="00DE47C7" w:rsidRPr="00626813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85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21DFE" w14:textId="77777777" w:rsidR="00DE47C7" w:rsidRPr="00626813" w:rsidRDefault="00DE47C7" w:rsidP="00385C1A">
            <w:pPr>
              <w:jc w:val="both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626813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2.18 (0.13, 4.11)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55663A" w14:textId="6AB8FD02" w:rsidR="00DE47C7" w:rsidRPr="00626813" w:rsidRDefault="00613152" w:rsidP="00385C1A">
            <w:pPr>
              <w:jc w:val="both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626813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0.</w:t>
            </w:r>
            <w:r w:rsidR="00DE47C7" w:rsidRPr="00626813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036</w:t>
            </w:r>
          </w:p>
        </w:tc>
      </w:tr>
      <w:tr w:rsidR="00DE47C7" w:rsidRPr="00626813" w14:paraId="06ACFE98" w14:textId="77777777" w:rsidTr="009C73C4">
        <w:trPr>
          <w:trHeight w:val="300"/>
        </w:trPr>
        <w:tc>
          <w:tcPr>
            <w:tcW w:w="14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C3274" w14:textId="77777777" w:rsidR="00DE47C7" w:rsidRPr="00626813" w:rsidRDefault="00DE47C7" w:rsidP="00385C1A">
            <w:pPr>
              <w:jc w:val="both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626813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NER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8404A" w14:textId="15D70865" w:rsidR="00DE47C7" w:rsidRPr="00626813" w:rsidRDefault="00613152" w:rsidP="00385C1A">
            <w:pPr>
              <w:jc w:val="both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626813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200.</w:t>
            </w:r>
            <w:r w:rsidR="00DE47C7" w:rsidRPr="00626813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68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740E9" w14:textId="5D9A21E8" w:rsidR="00DE47C7" w:rsidRPr="00626813" w:rsidRDefault="00613152" w:rsidP="00385C1A">
            <w:pPr>
              <w:jc w:val="both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626813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116.</w:t>
            </w:r>
            <w:r w:rsidR="00DE47C7" w:rsidRPr="00626813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37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1DEF3" w14:textId="77777777" w:rsidR="00DE47C7" w:rsidRPr="00626813" w:rsidRDefault="00DE47C7" w:rsidP="00385C1A">
            <w:pPr>
              <w:jc w:val="both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2BB83" w14:textId="77777777" w:rsidR="00DE47C7" w:rsidRPr="00626813" w:rsidRDefault="00DE47C7" w:rsidP="00385C1A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06302" w14:textId="77777777" w:rsidR="00DE47C7" w:rsidRPr="00626813" w:rsidRDefault="00DE47C7" w:rsidP="00385C1A">
            <w:pPr>
              <w:jc w:val="both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626813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33C70" w14:textId="52FC0FED" w:rsidR="00DE47C7" w:rsidRPr="00626813" w:rsidRDefault="00613152" w:rsidP="00385C1A">
            <w:pPr>
              <w:jc w:val="both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626813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191.</w:t>
            </w:r>
            <w:r w:rsidR="00DE47C7" w:rsidRPr="00626813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46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26010" w14:textId="57301A34" w:rsidR="00DE47C7" w:rsidRPr="00626813" w:rsidRDefault="00613152" w:rsidP="00385C1A">
            <w:pPr>
              <w:jc w:val="both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626813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117.</w:t>
            </w:r>
            <w:r w:rsidR="00DE47C7" w:rsidRPr="00626813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88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C3BAE" w14:textId="77777777" w:rsidR="00DE47C7" w:rsidRPr="00626813" w:rsidRDefault="00DE47C7" w:rsidP="00385C1A">
            <w:pPr>
              <w:jc w:val="both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A2B0D" w14:textId="77777777" w:rsidR="00DE47C7" w:rsidRPr="00626813" w:rsidRDefault="00DE47C7" w:rsidP="00385C1A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D244F9" w14:textId="77777777" w:rsidR="00DE47C7" w:rsidRPr="00626813" w:rsidRDefault="00DE47C7" w:rsidP="00385C1A">
            <w:pPr>
              <w:jc w:val="both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626813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DE47C7" w:rsidRPr="00626813" w14:paraId="3B8677C5" w14:textId="77777777" w:rsidTr="009C73C4">
        <w:trPr>
          <w:trHeight w:val="300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FC3B1" w14:textId="77777777" w:rsidR="00DE47C7" w:rsidRPr="00626813" w:rsidRDefault="00DE47C7" w:rsidP="00385C1A">
            <w:pPr>
              <w:jc w:val="both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626813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ER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F3392A" w14:textId="77380C31" w:rsidR="00DE47C7" w:rsidRPr="00626813" w:rsidRDefault="00613152" w:rsidP="00385C1A">
            <w:pPr>
              <w:jc w:val="both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626813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39.</w:t>
            </w:r>
            <w:r w:rsidR="00DE47C7" w:rsidRPr="00626813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91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E4CE42" w14:textId="629AE8A6" w:rsidR="00DE47C7" w:rsidRPr="00626813" w:rsidRDefault="00613152" w:rsidP="00385C1A">
            <w:pPr>
              <w:jc w:val="both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626813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28.</w:t>
            </w:r>
            <w:r w:rsidR="00DE47C7" w:rsidRPr="00626813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03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C99730" w14:textId="77777777" w:rsidR="00DE47C7" w:rsidRPr="00626813" w:rsidRDefault="00DE47C7" w:rsidP="00385C1A">
            <w:pPr>
              <w:jc w:val="both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626813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B9E4C7" w14:textId="77777777" w:rsidR="00DE47C7" w:rsidRPr="00626813" w:rsidRDefault="00DE47C7" w:rsidP="00385C1A">
            <w:pPr>
              <w:jc w:val="both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626813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A860E" w14:textId="77777777" w:rsidR="00DE47C7" w:rsidRPr="00626813" w:rsidRDefault="00DE47C7" w:rsidP="00385C1A">
            <w:pPr>
              <w:jc w:val="both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626813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457FCE" w14:textId="1D990A2D" w:rsidR="00DE47C7" w:rsidRPr="00626813" w:rsidRDefault="00613152" w:rsidP="00385C1A">
            <w:pPr>
              <w:jc w:val="both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626813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25.</w:t>
            </w:r>
            <w:r w:rsidR="00DE47C7" w:rsidRPr="00626813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62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44EEEF" w14:textId="61B181B0" w:rsidR="00DE47C7" w:rsidRPr="00626813" w:rsidRDefault="00613152" w:rsidP="00385C1A">
            <w:pPr>
              <w:jc w:val="both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626813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20.</w:t>
            </w:r>
            <w:r w:rsidR="00DE47C7" w:rsidRPr="00626813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26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8F0C48" w14:textId="77777777" w:rsidR="00DE47C7" w:rsidRPr="00626813" w:rsidRDefault="00DE47C7" w:rsidP="00385C1A">
            <w:pPr>
              <w:jc w:val="both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626813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D70E9B" w14:textId="77777777" w:rsidR="00DE47C7" w:rsidRPr="00626813" w:rsidRDefault="00DE47C7" w:rsidP="00385C1A">
            <w:pPr>
              <w:jc w:val="both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626813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583216" w14:textId="77777777" w:rsidR="00DE47C7" w:rsidRPr="00626813" w:rsidRDefault="00DE47C7" w:rsidP="00385C1A">
            <w:pPr>
              <w:jc w:val="both"/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</w:pPr>
            <w:r w:rsidRPr="00626813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DE47C7" w:rsidRPr="00626813" w14:paraId="0CBEF3D7" w14:textId="77777777" w:rsidTr="009C73C4">
        <w:trPr>
          <w:trHeight w:val="698"/>
        </w:trPr>
        <w:tc>
          <w:tcPr>
            <w:tcW w:w="95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AD8B1F" w14:textId="65D3E9F5" w:rsidR="00DE47C7" w:rsidRPr="00626813" w:rsidRDefault="00DE47C7" w:rsidP="00385C1A">
            <w:pPr>
              <w:jc w:val="both"/>
              <w:rPr>
                <w:rFonts w:ascii="Palatino Linotype" w:hAnsi="Palatino Linotype" w:cs="Calibri"/>
                <w:color w:val="000000"/>
                <w:sz w:val="16"/>
                <w:szCs w:val="16"/>
                <w:lang w:val="en-US"/>
              </w:rPr>
            </w:pPr>
            <w:r w:rsidRPr="00626813">
              <w:rPr>
                <w:rFonts w:ascii="Palatino Linotype" w:hAnsi="Palatino Linotype" w:cs="Calibri"/>
                <w:color w:val="000000"/>
                <w:sz w:val="16"/>
                <w:szCs w:val="16"/>
                <w:lang w:val="en-US"/>
              </w:rPr>
              <w:t xml:space="preserve">Abbreviations:  early recurrence (ER), no early recurrence (NER), degrees of freedom (df), standard deviation (std), Cohen's D (d), Confidence Interval (CI), p-value (p).  * The </w:t>
            </w:r>
            <w:r w:rsidRPr="00626813">
              <w:rPr>
                <w:rFonts w:ascii="Palatino Linotype" w:hAnsi="Palatino Linotype" w:cs="Calibri"/>
                <w:i/>
                <w:iCs/>
                <w:color w:val="000000"/>
                <w:sz w:val="16"/>
                <w:szCs w:val="16"/>
                <w:lang w:val="en-US"/>
              </w:rPr>
              <w:t>t</w:t>
            </w:r>
            <w:r w:rsidRPr="00626813">
              <w:rPr>
                <w:rFonts w:ascii="Palatino Linotype" w:hAnsi="Palatino Linotype" w:cs="Calibri"/>
                <w:color w:val="000000"/>
                <w:sz w:val="16"/>
                <w:szCs w:val="16"/>
                <w:lang w:val="en-US"/>
              </w:rPr>
              <w:t xml:space="preserve"> and the </w:t>
            </w:r>
            <w:r w:rsidRPr="00626813">
              <w:rPr>
                <w:rFonts w:ascii="Palatino Linotype" w:hAnsi="Palatino Linotype" w:cs="Calibri"/>
                <w:i/>
                <w:iCs/>
                <w:color w:val="000000"/>
                <w:sz w:val="16"/>
                <w:szCs w:val="16"/>
                <w:lang w:val="en-US"/>
              </w:rPr>
              <w:t>df</w:t>
            </w:r>
            <w:r w:rsidRPr="00626813">
              <w:rPr>
                <w:rFonts w:ascii="Palatino Linotype" w:hAnsi="Palatino Linotype" w:cs="Calibri"/>
                <w:color w:val="000000"/>
                <w:sz w:val="16"/>
                <w:szCs w:val="16"/>
                <w:lang w:val="en-US"/>
              </w:rPr>
              <w:t xml:space="preserve"> (=4.67) were adjusted because variances were not equal)</w:t>
            </w:r>
          </w:p>
        </w:tc>
      </w:tr>
    </w:tbl>
    <w:p w14:paraId="149D2ED6" w14:textId="77777777" w:rsidR="00DE47C7" w:rsidRPr="00626813" w:rsidRDefault="00DE47C7" w:rsidP="00385C1A">
      <w:pPr>
        <w:jc w:val="both"/>
        <w:rPr>
          <w:lang w:val="en-US"/>
        </w:rPr>
      </w:pPr>
    </w:p>
    <w:p w14:paraId="6D1A9644" w14:textId="77777777" w:rsidR="00DE47C7" w:rsidRPr="00626813" w:rsidRDefault="00DE47C7" w:rsidP="00385C1A">
      <w:pPr>
        <w:jc w:val="both"/>
        <w:rPr>
          <w:lang w:val="en-US"/>
        </w:rPr>
      </w:pPr>
    </w:p>
    <w:p w14:paraId="30039655" w14:textId="77777777" w:rsidR="00DE47C7" w:rsidRPr="00626813" w:rsidRDefault="00DE47C7" w:rsidP="00385C1A">
      <w:pPr>
        <w:jc w:val="both"/>
      </w:pPr>
    </w:p>
    <w:tbl>
      <w:tblPr>
        <w:tblW w:w="10485" w:type="dxa"/>
        <w:tblLook w:val="04A0" w:firstRow="1" w:lastRow="0" w:firstColumn="1" w:lastColumn="0" w:noHBand="0" w:noVBand="1"/>
      </w:tblPr>
      <w:tblGrid>
        <w:gridCol w:w="979"/>
        <w:gridCol w:w="733"/>
        <w:gridCol w:w="607"/>
        <w:gridCol w:w="718"/>
        <w:gridCol w:w="2256"/>
        <w:gridCol w:w="718"/>
        <w:gridCol w:w="733"/>
        <w:gridCol w:w="607"/>
        <w:gridCol w:w="607"/>
        <w:gridCol w:w="1815"/>
        <w:gridCol w:w="718"/>
      </w:tblGrid>
      <w:tr w:rsidR="00DE47C7" w:rsidRPr="00626813" w14:paraId="788220F2" w14:textId="77777777" w:rsidTr="00DE47C7">
        <w:trPr>
          <w:trHeight w:val="552"/>
        </w:trPr>
        <w:tc>
          <w:tcPr>
            <w:tcW w:w="1048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ACFD67" w14:textId="7F970A5B" w:rsidR="00DE47C7" w:rsidRPr="00626813" w:rsidRDefault="00DE47C7" w:rsidP="00385C1A">
            <w:pPr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62681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  <w:lastRenderedPageBreak/>
              <w:t>Su</w:t>
            </w:r>
            <w:r w:rsidR="006A313F" w:rsidRPr="0062681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>p</w:t>
            </w:r>
            <w:r w:rsidRPr="0062681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>plementary Table 3. Validation results, one-sided t-test, comparing between NER and ER patient groups at different time points for selected genomic locations.</w:t>
            </w:r>
          </w:p>
        </w:tc>
      </w:tr>
      <w:tr w:rsidR="00DE47C7" w:rsidRPr="00626813" w14:paraId="79ACCBC7" w14:textId="77777777" w:rsidTr="00DE47C7">
        <w:trPr>
          <w:trHeight w:val="315"/>
        </w:trPr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6DD86" w14:textId="77777777" w:rsidR="00DE47C7" w:rsidRPr="00626813" w:rsidRDefault="00DE47C7" w:rsidP="00385C1A">
            <w:pPr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D3006" w14:textId="77777777" w:rsidR="00DE47C7" w:rsidRPr="00626813" w:rsidRDefault="00DE47C7" w:rsidP="00385C1A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847EB" w14:textId="77777777" w:rsidR="00DE47C7" w:rsidRPr="00626813" w:rsidRDefault="00DE47C7" w:rsidP="00385C1A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BF83B" w14:textId="77777777" w:rsidR="00DE47C7" w:rsidRPr="00626813" w:rsidRDefault="00DE47C7" w:rsidP="00385C1A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EE500" w14:textId="77777777" w:rsidR="00DE47C7" w:rsidRPr="00626813" w:rsidRDefault="00DE47C7" w:rsidP="00385C1A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3E453" w14:textId="77777777" w:rsidR="00DE47C7" w:rsidRPr="00626813" w:rsidRDefault="00DE47C7" w:rsidP="00385C1A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B2E41" w14:textId="77777777" w:rsidR="00DE47C7" w:rsidRPr="00626813" w:rsidRDefault="00DE47C7" w:rsidP="00385C1A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A2EE1" w14:textId="77777777" w:rsidR="00DE47C7" w:rsidRPr="00626813" w:rsidRDefault="00DE47C7" w:rsidP="00385C1A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56194" w14:textId="77777777" w:rsidR="00DE47C7" w:rsidRPr="00626813" w:rsidRDefault="00DE47C7" w:rsidP="00385C1A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D3DB5" w14:textId="77777777" w:rsidR="00DE47C7" w:rsidRPr="00626813" w:rsidRDefault="00DE47C7" w:rsidP="00385C1A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54BE1" w14:textId="77777777" w:rsidR="00DE47C7" w:rsidRPr="00626813" w:rsidRDefault="00DE47C7" w:rsidP="00385C1A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DE47C7" w:rsidRPr="00626813" w14:paraId="406EA155" w14:textId="77777777" w:rsidTr="00DE47C7">
        <w:trPr>
          <w:trHeight w:val="300"/>
        </w:trPr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1297B6" w14:textId="77777777" w:rsidR="00DE47C7" w:rsidRPr="00626813" w:rsidRDefault="00DE47C7" w:rsidP="00385C1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62681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9506" w:type="dxa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5531C39" w14:textId="77777777" w:rsidR="00DE47C7" w:rsidRPr="00626813" w:rsidRDefault="00DE47C7" w:rsidP="00385C1A">
            <w:pPr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nl-NL"/>
              </w:rPr>
            </w:pPr>
            <w:r w:rsidRPr="0062681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nl-NL"/>
              </w:rPr>
              <w:t>Set 1, NER (n=3) vs ER (n=2), df = 3</w:t>
            </w:r>
          </w:p>
        </w:tc>
      </w:tr>
      <w:tr w:rsidR="00DE47C7" w:rsidRPr="00626813" w14:paraId="7AFFF784" w14:textId="77777777" w:rsidTr="00DE47C7">
        <w:trPr>
          <w:trHeight w:val="300"/>
        </w:trPr>
        <w:tc>
          <w:tcPr>
            <w:tcW w:w="9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2FFF8F" w14:textId="77777777" w:rsidR="00DE47C7" w:rsidRPr="00626813" w:rsidRDefault="00DE47C7" w:rsidP="00385C1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nl-NL"/>
              </w:rPr>
            </w:pPr>
            <w:r w:rsidRPr="00626813">
              <w:rPr>
                <w:rFonts w:ascii="Calibri" w:hAnsi="Calibri" w:cs="Calibri"/>
                <w:color w:val="000000"/>
                <w:sz w:val="22"/>
                <w:szCs w:val="22"/>
                <w:lang w:val="nl-NL"/>
              </w:rPr>
              <w:t> </w:t>
            </w:r>
          </w:p>
        </w:tc>
        <w:tc>
          <w:tcPr>
            <w:tcW w:w="5029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6C0E4E" w14:textId="48C3BD6C" w:rsidR="00DE47C7" w:rsidRPr="00626813" w:rsidRDefault="00DE47C7" w:rsidP="00385C1A">
            <w:pPr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62681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 xml:space="preserve">Week </w:t>
            </w:r>
            <w:r w:rsidR="005F36EB" w:rsidRPr="0062681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>1</w:t>
            </w:r>
            <w:r w:rsidR="003406D8" w:rsidRPr="0062681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4477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F6D9BD5" w14:textId="77777777" w:rsidR="00DE47C7" w:rsidRPr="00626813" w:rsidRDefault="00DE47C7" w:rsidP="00385C1A">
            <w:pPr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62681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>Week 6</w:t>
            </w:r>
          </w:p>
        </w:tc>
      </w:tr>
      <w:tr w:rsidR="00DE47C7" w:rsidRPr="00626813" w14:paraId="0D336F95" w14:textId="77777777" w:rsidTr="00DE47C7">
        <w:trPr>
          <w:trHeight w:val="315"/>
        </w:trPr>
        <w:tc>
          <w:tcPr>
            <w:tcW w:w="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C78B8C" w14:textId="77777777" w:rsidR="00DE47C7" w:rsidRPr="00626813" w:rsidRDefault="00DE47C7" w:rsidP="00385C1A">
            <w:pPr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62681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>Variable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4158CC" w14:textId="77777777" w:rsidR="00DE47C7" w:rsidRPr="00626813" w:rsidRDefault="00DE47C7" w:rsidP="00385C1A">
            <w:pPr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62681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>mean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F842E8" w14:textId="77777777" w:rsidR="00DE47C7" w:rsidRPr="00626813" w:rsidRDefault="00DE47C7" w:rsidP="00385C1A">
            <w:pPr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62681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>std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2B8BFB" w14:textId="77777777" w:rsidR="00DE47C7" w:rsidRPr="00626813" w:rsidRDefault="00DE47C7" w:rsidP="00385C1A">
            <w:pPr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62681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>t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A603E2" w14:textId="77777777" w:rsidR="00DE47C7" w:rsidRPr="00626813" w:rsidRDefault="00DE47C7" w:rsidP="00385C1A">
            <w:pPr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62681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>d (CI)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FDDED" w14:textId="77777777" w:rsidR="00DE47C7" w:rsidRPr="00626813" w:rsidRDefault="00DE47C7" w:rsidP="00385C1A">
            <w:pPr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62681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>p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21AB70" w14:textId="77777777" w:rsidR="00DE47C7" w:rsidRPr="00626813" w:rsidRDefault="00DE47C7" w:rsidP="00385C1A">
            <w:pPr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62681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>mean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BA8F1A" w14:textId="77777777" w:rsidR="00DE47C7" w:rsidRPr="00626813" w:rsidRDefault="00DE47C7" w:rsidP="00385C1A">
            <w:pPr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62681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>std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10A0C0" w14:textId="77777777" w:rsidR="00DE47C7" w:rsidRPr="00626813" w:rsidRDefault="00DE47C7" w:rsidP="00385C1A">
            <w:pPr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62681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>t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F3CA74" w14:textId="77777777" w:rsidR="00DE47C7" w:rsidRPr="00626813" w:rsidRDefault="00DE47C7" w:rsidP="00385C1A">
            <w:pPr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62681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>d (CI)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AAA2C6" w14:textId="77777777" w:rsidR="00DE47C7" w:rsidRPr="00626813" w:rsidRDefault="00DE47C7" w:rsidP="00385C1A">
            <w:pPr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62681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>p</w:t>
            </w:r>
          </w:p>
        </w:tc>
      </w:tr>
      <w:tr w:rsidR="00DE47C7" w:rsidRPr="00626813" w14:paraId="088CA929" w14:textId="77777777" w:rsidTr="00DE47C7">
        <w:trPr>
          <w:trHeight w:val="300"/>
        </w:trPr>
        <w:tc>
          <w:tcPr>
            <w:tcW w:w="9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4C5EF4" w14:textId="77777777" w:rsidR="00DE47C7" w:rsidRPr="00626813" w:rsidRDefault="00DE47C7" w:rsidP="00385C1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62681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FZD5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3767B" w14:textId="77777777" w:rsidR="00DE47C7" w:rsidRPr="00626813" w:rsidRDefault="00DE47C7" w:rsidP="00385C1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51D3C" w14:textId="77777777" w:rsidR="00DE47C7" w:rsidRPr="00626813" w:rsidRDefault="00DE47C7" w:rsidP="00385C1A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F4463" w14:textId="26EC0B50" w:rsidR="00DE47C7" w:rsidRPr="00626813" w:rsidRDefault="00396A1D" w:rsidP="00385C1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62681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2.</w:t>
            </w:r>
            <w:r w:rsidR="00DE47C7" w:rsidRPr="0062681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43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F6FA5" w14:textId="77777777" w:rsidR="00DE47C7" w:rsidRPr="00626813" w:rsidRDefault="00DE47C7" w:rsidP="00385C1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62681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2.22 (-0.32, 4.60)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AD313" w14:textId="0FCEF791" w:rsidR="00DE47C7" w:rsidRPr="00626813" w:rsidRDefault="00DE47C7" w:rsidP="00385C1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62681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0</w:t>
            </w:r>
            <w:r w:rsidR="006A313F" w:rsidRPr="0062681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.</w:t>
            </w:r>
            <w:r w:rsidRPr="0062681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050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05A58" w14:textId="77777777" w:rsidR="00DE47C7" w:rsidRPr="00626813" w:rsidRDefault="00DE47C7" w:rsidP="00385C1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69EA9" w14:textId="77777777" w:rsidR="00DE47C7" w:rsidRPr="00626813" w:rsidRDefault="00DE47C7" w:rsidP="00385C1A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1982D" w14:textId="61AD0376" w:rsidR="00DE47C7" w:rsidRPr="00626813" w:rsidRDefault="003B1EDB" w:rsidP="00385C1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62681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0.</w:t>
            </w:r>
            <w:r w:rsidR="00DE47C7" w:rsidRPr="0062681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46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7EDF0" w14:textId="77777777" w:rsidR="00DE47C7" w:rsidRPr="00626813" w:rsidRDefault="00DE47C7" w:rsidP="00385C1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62681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0.42 (-1.43, 2.21)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9FBFC5" w14:textId="02E977AB" w:rsidR="00DE47C7" w:rsidRPr="00626813" w:rsidRDefault="003B1EDB" w:rsidP="00385C1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62681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0.</w:t>
            </w:r>
            <w:r w:rsidR="00DE47C7" w:rsidRPr="0062681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339</w:t>
            </w:r>
          </w:p>
        </w:tc>
      </w:tr>
      <w:tr w:rsidR="00DE47C7" w:rsidRPr="00626813" w14:paraId="14260FEB" w14:textId="77777777" w:rsidTr="00DE47C7">
        <w:trPr>
          <w:trHeight w:val="300"/>
        </w:trPr>
        <w:tc>
          <w:tcPr>
            <w:tcW w:w="9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422D0A" w14:textId="77777777" w:rsidR="00DE47C7" w:rsidRPr="00626813" w:rsidRDefault="00DE47C7" w:rsidP="00385C1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62681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NER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69360" w14:textId="2C30BC2C" w:rsidR="00DE47C7" w:rsidRPr="00626813" w:rsidRDefault="00396A1D" w:rsidP="00385C1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62681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7.</w:t>
            </w:r>
            <w:r w:rsidR="00DE47C7" w:rsidRPr="0062681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14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0B34D" w14:textId="2D04DA51" w:rsidR="00DE47C7" w:rsidRPr="00626813" w:rsidRDefault="00396A1D" w:rsidP="00385C1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62681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2.</w:t>
            </w:r>
            <w:r w:rsidR="00DE47C7" w:rsidRPr="0062681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22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B5A41" w14:textId="77777777" w:rsidR="00DE47C7" w:rsidRPr="00626813" w:rsidRDefault="00DE47C7" w:rsidP="00385C1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23BD0" w14:textId="77777777" w:rsidR="00DE47C7" w:rsidRPr="00626813" w:rsidRDefault="00DE47C7" w:rsidP="00385C1A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D905A" w14:textId="77777777" w:rsidR="00DE47C7" w:rsidRPr="00626813" w:rsidRDefault="00DE47C7" w:rsidP="00385C1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62681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794DB" w14:textId="7BB9487A" w:rsidR="00DE47C7" w:rsidRPr="00626813" w:rsidRDefault="003B1EDB" w:rsidP="00385C1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62681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5.</w:t>
            </w:r>
            <w:r w:rsidR="00DE47C7" w:rsidRPr="0062681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18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645F7" w14:textId="3EF1DD03" w:rsidR="00DE47C7" w:rsidRPr="00626813" w:rsidRDefault="003B1EDB" w:rsidP="00385C1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62681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1.</w:t>
            </w:r>
            <w:r w:rsidR="00DE47C7" w:rsidRPr="0062681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14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6D53F" w14:textId="77777777" w:rsidR="00DE47C7" w:rsidRPr="00626813" w:rsidRDefault="00DE47C7" w:rsidP="00385C1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F946D" w14:textId="77777777" w:rsidR="00DE47C7" w:rsidRPr="00626813" w:rsidRDefault="00DE47C7" w:rsidP="00385C1A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BDD877" w14:textId="77777777" w:rsidR="00DE47C7" w:rsidRPr="00626813" w:rsidRDefault="00DE47C7" w:rsidP="00385C1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62681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DE47C7" w:rsidRPr="00626813" w14:paraId="52DECBF3" w14:textId="77777777" w:rsidTr="00DE47C7">
        <w:trPr>
          <w:trHeight w:val="300"/>
        </w:trPr>
        <w:tc>
          <w:tcPr>
            <w:tcW w:w="9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3D772D" w14:textId="77777777" w:rsidR="00DE47C7" w:rsidRPr="00626813" w:rsidRDefault="00DE47C7" w:rsidP="00385C1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62681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ER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1B3CB" w14:textId="40E1E990" w:rsidR="00DE47C7" w:rsidRPr="00626813" w:rsidRDefault="00396A1D" w:rsidP="00385C1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62681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2.</w:t>
            </w:r>
            <w:r w:rsidR="00DE47C7" w:rsidRPr="0062681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99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B404D" w14:textId="3A0D314F" w:rsidR="00DE47C7" w:rsidRPr="00626813" w:rsidRDefault="00396A1D" w:rsidP="00385C1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62681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0.</w:t>
            </w:r>
            <w:r w:rsidR="00DE47C7" w:rsidRPr="0062681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81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E7D61" w14:textId="77777777" w:rsidR="00DE47C7" w:rsidRPr="00626813" w:rsidRDefault="00DE47C7" w:rsidP="00385C1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C9694" w14:textId="77777777" w:rsidR="00DE47C7" w:rsidRPr="00626813" w:rsidRDefault="00DE47C7" w:rsidP="00385C1A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98947" w14:textId="77777777" w:rsidR="00DE47C7" w:rsidRPr="00626813" w:rsidRDefault="00DE47C7" w:rsidP="00385C1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62681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436A5" w14:textId="3D65D4AC" w:rsidR="00DE47C7" w:rsidRPr="00626813" w:rsidRDefault="003B1EDB" w:rsidP="00385C1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62681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4.</w:t>
            </w:r>
            <w:r w:rsidR="00DE47C7" w:rsidRPr="0062681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45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12738" w14:textId="44B35BC8" w:rsidR="00DE47C7" w:rsidRPr="00626813" w:rsidRDefault="003B1EDB" w:rsidP="00385C1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62681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2.</w:t>
            </w:r>
            <w:r w:rsidR="00DE47C7" w:rsidRPr="0062681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55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A4990" w14:textId="77777777" w:rsidR="00DE47C7" w:rsidRPr="00626813" w:rsidRDefault="00DE47C7" w:rsidP="00385C1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4F853" w14:textId="77777777" w:rsidR="00DE47C7" w:rsidRPr="00626813" w:rsidRDefault="00DE47C7" w:rsidP="00385C1A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8747EB" w14:textId="77777777" w:rsidR="00DE47C7" w:rsidRPr="00626813" w:rsidRDefault="00DE47C7" w:rsidP="00385C1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62681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DE47C7" w:rsidRPr="00626813" w14:paraId="4C225256" w14:textId="77777777" w:rsidTr="00DE47C7">
        <w:trPr>
          <w:trHeight w:val="300"/>
        </w:trPr>
        <w:tc>
          <w:tcPr>
            <w:tcW w:w="9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43115A" w14:textId="77777777" w:rsidR="00DE47C7" w:rsidRPr="00626813" w:rsidRDefault="00DE47C7" w:rsidP="00385C1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62681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LEPR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D8EFF" w14:textId="77777777" w:rsidR="00DE47C7" w:rsidRPr="00626813" w:rsidRDefault="00DE47C7" w:rsidP="00385C1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3BCA7" w14:textId="77777777" w:rsidR="00DE47C7" w:rsidRPr="00626813" w:rsidRDefault="00DE47C7" w:rsidP="00385C1A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941B7" w14:textId="2A83FB11" w:rsidR="00DE47C7" w:rsidRPr="00626813" w:rsidRDefault="00396A1D" w:rsidP="00385C1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62681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2.</w:t>
            </w:r>
            <w:r w:rsidR="00DE47C7" w:rsidRPr="0062681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53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AC44D" w14:textId="77777777" w:rsidR="00DE47C7" w:rsidRPr="00626813" w:rsidRDefault="00DE47C7" w:rsidP="00385C1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62681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2.31 (-0.28, 4.74)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98800" w14:textId="1422138E" w:rsidR="00DE47C7" w:rsidRPr="00626813" w:rsidRDefault="00DE47C7" w:rsidP="00385C1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62681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0</w:t>
            </w:r>
            <w:r w:rsidR="006A313F" w:rsidRPr="0062681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.</w:t>
            </w:r>
            <w:r w:rsidRPr="0062681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040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35387" w14:textId="77777777" w:rsidR="00DE47C7" w:rsidRPr="00626813" w:rsidRDefault="00DE47C7" w:rsidP="00385C1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80856" w14:textId="77777777" w:rsidR="00DE47C7" w:rsidRPr="00626813" w:rsidRDefault="00DE47C7" w:rsidP="00385C1A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477C0" w14:textId="29749249" w:rsidR="00DE47C7" w:rsidRPr="00626813" w:rsidRDefault="003B1EDB" w:rsidP="00385C1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62681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1.</w:t>
            </w:r>
            <w:r w:rsidR="00DE47C7" w:rsidRPr="0062681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36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2D68A" w14:textId="77777777" w:rsidR="00DE47C7" w:rsidRPr="00626813" w:rsidRDefault="00DE47C7" w:rsidP="00385C1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62681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1.24 (-0.86, 3.19)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4D6B84" w14:textId="19D5BAE0" w:rsidR="00DE47C7" w:rsidRPr="00626813" w:rsidRDefault="003B1EDB" w:rsidP="00385C1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62681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0.</w:t>
            </w:r>
            <w:r w:rsidR="00DE47C7" w:rsidRPr="0062681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134</w:t>
            </w:r>
          </w:p>
        </w:tc>
      </w:tr>
      <w:tr w:rsidR="00DE47C7" w:rsidRPr="00626813" w14:paraId="6D0E11B8" w14:textId="77777777" w:rsidTr="00DE47C7">
        <w:trPr>
          <w:trHeight w:val="300"/>
        </w:trPr>
        <w:tc>
          <w:tcPr>
            <w:tcW w:w="9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BD8D9A" w14:textId="77777777" w:rsidR="00DE47C7" w:rsidRPr="00626813" w:rsidRDefault="00DE47C7" w:rsidP="00385C1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62681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NER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E2E0E" w14:textId="24A0ED17" w:rsidR="00DE47C7" w:rsidRPr="00626813" w:rsidRDefault="00396A1D" w:rsidP="00385C1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62681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5.</w:t>
            </w:r>
            <w:r w:rsidR="00DE47C7" w:rsidRPr="0062681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48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99225" w14:textId="7EDB9C21" w:rsidR="00DE47C7" w:rsidRPr="00626813" w:rsidRDefault="00396A1D" w:rsidP="00385C1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62681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1.</w:t>
            </w:r>
            <w:r w:rsidR="00DE47C7" w:rsidRPr="0062681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83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88515" w14:textId="77777777" w:rsidR="00DE47C7" w:rsidRPr="00626813" w:rsidRDefault="00DE47C7" w:rsidP="00385C1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66958" w14:textId="77777777" w:rsidR="00DE47C7" w:rsidRPr="00626813" w:rsidRDefault="00DE47C7" w:rsidP="00385C1A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43255" w14:textId="77777777" w:rsidR="00DE47C7" w:rsidRPr="00626813" w:rsidRDefault="00DE47C7" w:rsidP="00385C1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62681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BA6CC" w14:textId="176DD932" w:rsidR="00DE47C7" w:rsidRPr="00626813" w:rsidRDefault="003B1EDB" w:rsidP="00385C1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62681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4.</w:t>
            </w:r>
            <w:r w:rsidR="00DE47C7" w:rsidRPr="0062681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53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A9143" w14:textId="41D8B506" w:rsidR="00DE47C7" w:rsidRPr="00626813" w:rsidRDefault="003B1EDB" w:rsidP="00385C1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62681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1.</w:t>
            </w:r>
            <w:r w:rsidR="00DE47C7" w:rsidRPr="0062681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65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3972C" w14:textId="77777777" w:rsidR="00DE47C7" w:rsidRPr="00626813" w:rsidRDefault="00DE47C7" w:rsidP="00385C1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B5909" w14:textId="77777777" w:rsidR="00DE47C7" w:rsidRPr="00626813" w:rsidRDefault="00DE47C7" w:rsidP="00385C1A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43973E" w14:textId="77777777" w:rsidR="00DE47C7" w:rsidRPr="00626813" w:rsidRDefault="00DE47C7" w:rsidP="00385C1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62681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DE47C7" w:rsidRPr="00626813" w14:paraId="5489729B" w14:textId="77777777" w:rsidTr="00DE47C7">
        <w:trPr>
          <w:trHeight w:val="300"/>
        </w:trPr>
        <w:tc>
          <w:tcPr>
            <w:tcW w:w="9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CAA4C6" w14:textId="77777777" w:rsidR="00DE47C7" w:rsidRPr="00626813" w:rsidRDefault="00DE47C7" w:rsidP="00385C1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62681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ER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00D2F" w14:textId="3EE0293E" w:rsidR="00DE47C7" w:rsidRPr="00626813" w:rsidRDefault="00396A1D" w:rsidP="00385C1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62681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1.</w:t>
            </w:r>
            <w:r w:rsidR="00DE47C7" w:rsidRPr="0062681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93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681F7" w14:textId="3805333E" w:rsidR="00DE47C7" w:rsidRPr="00626813" w:rsidRDefault="00396A1D" w:rsidP="00385C1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62681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0.</w:t>
            </w:r>
            <w:r w:rsidR="00DE47C7" w:rsidRPr="0062681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64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4BBEB" w14:textId="77777777" w:rsidR="00DE47C7" w:rsidRPr="00626813" w:rsidRDefault="00DE47C7" w:rsidP="00385C1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A0263" w14:textId="77777777" w:rsidR="00DE47C7" w:rsidRPr="00626813" w:rsidRDefault="00DE47C7" w:rsidP="00385C1A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A458A" w14:textId="77777777" w:rsidR="00DE47C7" w:rsidRPr="00626813" w:rsidRDefault="00DE47C7" w:rsidP="00385C1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62681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A941A" w14:textId="58719983" w:rsidR="00DE47C7" w:rsidRPr="00626813" w:rsidRDefault="003B1EDB" w:rsidP="00385C1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62681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2.</w:t>
            </w:r>
            <w:r w:rsidR="00DE47C7" w:rsidRPr="0062681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65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08289" w14:textId="36CEDD6B" w:rsidR="00DE47C7" w:rsidRPr="00626813" w:rsidRDefault="003B1EDB" w:rsidP="00385C1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62681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1.</w:t>
            </w:r>
            <w:r w:rsidR="00DE47C7" w:rsidRPr="0062681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24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C9A7D" w14:textId="77777777" w:rsidR="00DE47C7" w:rsidRPr="00626813" w:rsidRDefault="00DE47C7" w:rsidP="00385C1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F6349" w14:textId="77777777" w:rsidR="00DE47C7" w:rsidRPr="00626813" w:rsidRDefault="00DE47C7" w:rsidP="00385C1A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10B200" w14:textId="77777777" w:rsidR="00DE47C7" w:rsidRPr="00626813" w:rsidRDefault="00DE47C7" w:rsidP="00385C1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62681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DE47C7" w:rsidRPr="00626813" w14:paraId="3D7D576E" w14:textId="77777777" w:rsidTr="00DE47C7">
        <w:trPr>
          <w:trHeight w:val="300"/>
        </w:trPr>
        <w:tc>
          <w:tcPr>
            <w:tcW w:w="9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FE7E86" w14:textId="77777777" w:rsidR="00DE47C7" w:rsidRPr="00626813" w:rsidRDefault="00DE47C7" w:rsidP="00385C1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62681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IRS2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8A8D5" w14:textId="77777777" w:rsidR="00DE47C7" w:rsidRPr="00626813" w:rsidRDefault="00DE47C7" w:rsidP="00385C1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1B82A" w14:textId="77777777" w:rsidR="00DE47C7" w:rsidRPr="00626813" w:rsidRDefault="00DE47C7" w:rsidP="00385C1A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2F35C" w14:textId="4DEF80B0" w:rsidR="00DE47C7" w:rsidRPr="00626813" w:rsidRDefault="00396A1D" w:rsidP="00385C1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62681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67.</w:t>
            </w:r>
            <w:r w:rsidR="00DE47C7" w:rsidRPr="0062681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36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ECA91" w14:textId="77777777" w:rsidR="00DE47C7" w:rsidRPr="00626813" w:rsidRDefault="00DE47C7" w:rsidP="00385C1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62681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61.49 (16.45, 108.57)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DF4B7" w14:textId="77777777" w:rsidR="00DE47C7" w:rsidRPr="00626813" w:rsidRDefault="00DE47C7" w:rsidP="00385C1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62681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&lt;.001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1FABB" w14:textId="77777777" w:rsidR="00DE47C7" w:rsidRPr="00626813" w:rsidRDefault="00DE47C7" w:rsidP="00385C1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CA124" w14:textId="77777777" w:rsidR="00DE47C7" w:rsidRPr="00626813" w:rsidRDefault="00DE47C7" w:rsidP="00385C1A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EA750" w14:textId="19751DC3" w:rsidR="00DE47C7" w:rsidRPr="00626813" w:rsidRDefault="003B1EDB" w:rsidP="00385C1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62681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0.</w:t>
            </w:r>
            <w:r w:rsidR="00DE47C7" w:rsidRPr="0062681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63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57B9B" w14:textId="77777777" w:rsidR="00DE47C7" w:rsidRPr="00626813" w:rsidRDefault="00DE47C7" w:rsidP="00385C1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62681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0.57 (-1.31, 2.37)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53D774" w14:textId="3614EE40" w:rsidR="00DE47C7" w:rsidRPr="00626813" w:rsidRDefault="003B1EDB" w:rsidP="00385C1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62681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0.</w:t>
            </w:r>
            <w:r w:rsidR="00DE47C7" w:rsidRPr="0062681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287</w:t>
            </w:r>
          </w:p>
        </w:tc>
      </w:tr>
      <w:tr w:rsidR="00DE47C7" w:rsidRPr="00626813" w14:paraId="13C69253" w14:textId="77777777" w:rsidTr="00DE47C7">
        <w:trPr>
          <w:trHeight w:val="300"/>
        </w:trPr>
        <w:tc>
          <w:tcPr>
            <w:tcW w:w="9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8FEC15" w14:textId="77777777" w:rsidR="00DE47C7" w:rsidRPr="00626813" w:rsidRDefault="00DE47C7" w:rsidP="00385C1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62681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NER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0A24C" w14:textId="2E97E866" w:rsidR="00DE47C7" w:rsidRPr="00626813" w:rsidRDefault="00396A1D" w:rsidP="00385C1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62681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2.</w:t>
            </w:r>
            <w:r w:rsidR="00DE47C7" w:rsidRPr="0062681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EE7B7" w14:textId="1A2E8C7D" w:rsidR="00DE47C7" w:rsidRPr="00626813" w:rsidRDefault="00396A1D" w:rsidP="00385C1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62681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0.</w:t>
            </w:r>
            <w:r w:rsidR="00DE47C7" w:rsidRPr="0062681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03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C5AD4" w14:textId="77777777" w:rsidR="00DE47C7" w:rsidRPr="00626813" w:rsidRDefault="00DE47C7" w:rsidP="00385C1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560E3" w14:textId="77777777" w:rsidR="00DE47C7" w:rsidRPr="00626813" w:rsidRDefault="00DE47C7" w:rsidP="00385C1A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2D78F" w14:textId="77777777" w:rsidR="00DE47C7" w:rsidRPr="00626813" w:rsidRDefault="00DE47C7" w:rsidP="00385C1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62681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43C6C" w14:textId="46DD7DF0" w:rsidR="00DE47C7" w:rsidRPr="00626813" w:rsidRDefault="003B1EDB" w:rsidP="00385C1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62681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1.</w:t>
            </w:r>
            <w:r w:rsidR="00DE47C7" w:rsidRPr="0062681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72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EF346" w14:textId="41C13297" w:rsidR="00DE47C7" w:rsidRPr="00626813" w:rsidRDefault="003B1EDB" w:rsidP="00385C1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62681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0.</w:t>
            </w:r>
            <w:r w:rsidR="00DE47C7" w:rsidRPr="0062681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83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7779B" w14:textId="77777777" w:rsidR="00DE47C7" w:rsidRPr="00626813" w:rsidRDefault="00DE47C7" w:rsidP="00385C1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45178" w14:textId="77777777" w:rsidR="00DE47C7" w:rsidRPr="00626813" w:rsidRDefault="00DE47C7" w:rsidP="00385C1A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F65277" w14:textId="77777777" w:rsidR="00DE47C7" w:rsidRPr="00626813" w:rsidRDefault="00DE47C7" w:rsidP="00385C1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62681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DE47C7" w:rsidRPr="00626813" w14:paraId="68844E9E" w14:textId="77777777" w:rsidTr="00DE47C7">
        <w:trPr>
          <w:trHeight w:val="300"/>
        </w:trPr>
        <w:tc>
          <w:tcPr>
            <w:tcW w:w="9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E82DA1" w14:textId="77777777" w:rsidR="00DE47C7" w:rsidRPr="00626813" w:rsidRDefault="00DE47C7" w:rsidP="00385C1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62681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ER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B4B29" w14:textId="72B35F5F" w:rsidR="00DE47C7" w:rsidRPr="00626813" w:rsidRDefault="00396A1D" w:rsidP="00385C1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62681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0.</w:t>
            </w:r>
            <w:r w:rsidR="00DE47C7" w:rsidRPr="0062681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59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F3D49" w14:textId="7FB6198E" w:rsidR="00DE47C7" w:rsidRPr="00626813" w:rsidRDefault="00396A1D" w:rsidP="00385C1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62681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0.</w:t>
            </w:r>
            <w:r w:rsidR="00DE47C7" w:rsidRPr="0062681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01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EE7BF" w14:textId="77777777" w:rsidR="00DE47C7" w:rsidRPr="00626813" w:rsidRDefault="00DE47C7" w:rsidP="00385C1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D5624" w14:textId="77777777" w:rsidR="00DE47C7" w:rsidRPr="00626813" w:rsidRDefault="00DE47C7" w:rsidP="00385C1A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E6F0F" w14:textId="77777777" w:rsidR="00DE47C7" w:rsidRPr="00626813" w:rsidRDefault="00DE47C7" w:rsidP="00385C1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62681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74CF7" w14:textId="24BE2A36" w:rsidR="00DE47C7" w:rsidRPr="00626813" w:rsidRDefault="003B1EDB" w:rsidP="00385C1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62681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1.</w:t>
            </w:r>
            <w:r w:rsidR="00DE47C7" w:rsidRPr="0062681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31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09A9D" w14:textId="4E2276EB" w:rsidR="00DE47C7" w:rsidRPr="00626813" w:rsidRDefault="003B1EDB" w:rsidP="00385C1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62681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0.</w:t>
            </w:r>
            <w:r w:rsidR="00DE47C7" w:rsidRPr="0062681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34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84EAD" w14:textId="77777777" w:rsidR="00DE47C7" w:rsidRPr="00626813" w:rsidRDefault="00DE47C7" w:rsidP="00385C1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F344A" w14:textId="77777777" w:rsidR="00DE47C7" w:rsidRPr="00626813" w:rsidRDefault="00DE47C7" w:rsidP="00385C1A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C5D4DF" w14:textId="77777777" w:rsidR="00DE47C7" w:rsidRPr="00626813" w:rsidRDefault="00DE47C7" w:rsidP="00385C1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62681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DE47C7" w:rsidRPr="00626813" w14:paraId="14E2252D" w14:textId="77777777" w:rsidTr="00DE47C7">
        <w:trPr>
          <w:trHeight w:val="300"/>
        </w:trPr>
        <w:tc>
          <w:tcPr>
            <w:tcW w:w="9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C8FAE9" w14:textId="77777777" w:rsidR="00DE47C7" w:rsidRPr="00626813" w:rsidRDefault="00DE47C7" w:rsidP="00385C1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62681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AKT3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E8B9E" w14:textId="77777777" w:rsidR="00DE47C7" w:rsidRPr="00626813" w:rsidRDefault="00DE47C7" w:rsidP="00385C1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F1778" w14:textId="77777777" w:rsidR="00DE47C7" w:rsidRPr="00626813" w:rsidRDefault="00DE47C7" w:rsidP="00385C1A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44617" w14:textId="4DD07470" w:rsidR="00DE47C7" w:rsidRPr="00626813" w:rsidRDefault="00396A1D" w:rsidP="00385C1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62681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2.</w:t>
            </w:r>
            <w:r w:rsidR="00DE47C7" w:rsidRPr="0062681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66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19E9E" w14:textId="77777777" w:rsidR="00DE47C7" w:rsidRPr="00626813" w:rsidRDefault="00DE47C7" w:rsidP="00385C1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62681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2.43 (-0.216, 4.93)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F116D" w14:textId="39078C2A" w:rsidR="00DE47C7" w:rsidRPr="00626813" w:rsidRDefault="00396A1D" w:rsidP="00385C1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62681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0.</w:t>
            </w:r>
            <w:r w:rsidR="00DE47C7" w:rsidRPr="0062681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040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C705F" w14:textId="77777777" w:rsidR="00DE47C7" w:rsidRPr="00626813" w:rsidRDefault="00DE47C7" w:rsidP="00385C1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FA408" w14:textId="77777777" w:rsidR="00DE47C7" w:rsidRPr="00626813" w:rsidRDefault="00DE47C7" w:rsidP="00385C1A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4B799" w14:textId="4AE33D23" w:rsidR="00DE47C7" w:rsidRPr="00626813" w:rsidRDefault="003B1EDB" w:rsidP="00385C1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62681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1.</w:t>
            </w:r>
            <w:r w:rsidR="00DE47C7" w:rsidRPr="0062681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51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4499E" w14:textId="77777777" w:rsidR="00DE47C7" w:rsidRPr="00626813" w:rsidRDefault="00DE47C7" w:rsidP="00385C1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62681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1.37 (-0.78, 3.37)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F8EE7E" w14:textId="42B7D3D0" w:rsidR="00DE47C7" w:rsidRPr="00626813" w:rsidRDefault="003B1EDB" w:rsidP="00385C1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62681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0.</w:t>
            </w:r>
            <w:r w:rsidR="00DE47C7" w:rsidRPr="0062681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115</w:t>
            </w:r>
          </w:p>
        </w:tc>
      </w:tr>
      <w:tr w:rsidR="00DE47C7" w:rsidRPr="00626813" w14:paraId="4541D3DE" w14:textId="77777777" w:rsidTr="00DE47C7">
        <w:trPr>
          <w:trHeight w:val="300"/>
        </w:trPr>
        <w:tc>
          <w:tcPr>
            <w:tcW w:w="9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B8FB2D" w14:textId="77777777" w:rsidR="00DE47C7" w:rsidRPr="00626813" w:rsidRDefault="00DE47C7" w:rsidP="00385C1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62681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NER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8C04B" w14:textId="5BFC0081" w:rsidR="00DE47C7" w:rsidRPr="00626813" w:rsidRDefault="00396A1D" w:rsidP="00385C1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62681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8.</w:t>
            </w:r>
            <w:r w:rsidR="00DE47C7" w:rsidRPr="0062681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92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5DA03" w14:textId="6B9197F3" w:rsidR="00DE47C7" w:rsidRPr="00626813" w:rsidRDefault="00396A1D" w:rsidP="00385C1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62681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2.</w:t>
            </w:r>
            <w:r w:rsidR="00DE47C7" w:rsidRPr="0062681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62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9539F" w14:textId="77777777" w:rsidR="00DE47C7" w:rsidRPr="00626813" w:rsidRDefault="00DE47C7" w:rsidP="00385C1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9CCE1" w14:textId="77777777" w:rsidR="00DE47C7" w:rsidRPr="00626813" w:rsidRDefault="00DE47C7" w:rsidP="00385C1A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5D6F1" w14:textId="77777777" w:rsidR="00DE47C7" w:rsidRPr="00626813" w:rsidRDefault="00DE47C7" w:rsidP="00385C1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62681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39120" w14:textId="1F66DCFC" w:rsidR="00DE47C7" w:rsidRPr="00626813" w:rsidRDefault="003B1EDB" w:rsidP="00385C1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62681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6.</w:t>
            </w:r>
            <w:r w:rsidR="00DE47C7" w:rsidRPr="0062681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55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34D98" w14:textId="7379EE0F" w:rsidR="00DE47C7" w:rsidRPr="00626813" w:rsidRDefault="003B1EDB" w:rsidP="00385C1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62681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1.</w:t>
            </w:r>
            <w:r w:rsidR="00DE47C7" w:rsidRPr="0062681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89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4994F" w14:textId="77777777" w:rsidR="00DE47C7" w:rsidRPr="00626813" w:rsidRDefault="00DE47C7" w:rsidP="00385C1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A4469" w14:textId="77777777" w:rsidR="00DE47C7" w:rsidRPr="00626813" w:rsidRDefault="00DE47C7" w:rsidP="00385C1A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DF72C0" w14:textId="77777777" w:rsidR="00DE47C7" w:rsidRPr="00626813" w:rsidRDefault="00DE47C7" w:rsidP="00385C1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62681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DE47C7" w:rsidRPr="00626813" w14:paraId="48EE54D5" w14:textId="77777777" w:rsidTr="00DE47C7">
        <w:trPr>
          <w:trHeight w:val="300"/>
        </w:trPr>
        <w:tc>
          <w:tcPr>
            <w:tcW w:w="9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69B442" w14:textId="77777777" w:rsidR="00DE47C7" w:rsidRPr="00626813" w:rsidRDefault="00DE47C7" w:rsidP="00385C1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62681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ER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4FBD4" w14:textId="04208331" w:rsidR="00DE47C7" w:rsidRPr="00626813" w:rsidRDefault="00396A1D" w:rsidP="00385C1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62681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3.</w:t>
            </w:r>
            <w:r w:rsidR="00DE47C7" w:rsidRPr="0062681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58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DC22B" w14:textId="6CA1F11D" w:rsidR="00DE47C7" w:rsidRPr="00626813" w:rsidRDefault="00396A1D" w:rsidP="00385C1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62681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0.</w:t>
            </w:r>
            <w:r w:rsidR="00DE47C7" w:rsidRPr="0062681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90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EB068" w14:textId="77777777" w:rsidR="00DE47C7" w:rsidRPr="00626813" w:rsidRDefault="00DE47C7" w:rsidP="00385C1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255E2" w14:textId="77777777" w:rsidR="00DE47C7" w:rsidRPr="00626813" w:rsidRDefault="00DE47C7" w:rsidP="00385C1A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5793F" w14:textId="77777777" w:rsidR="00DE47C7" w:rsidRPr="00626813" w:rsidRDefault="00DE47C7" w:rsidP="00385C1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62681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93DEE" w14:textId="36B7494B" w:rsidR="00DE47C7" w:rsidRPr="00626813" w:rsidRDefault="003B1EDB" w:rsidP="00385C1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62681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4.</w:t>
            </w:r>
            <w:r w:rsidR="00DE47C7" w:rsidRPr="0062681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21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99759" w14:textId="75788E08" w:rsidR="00DE47C7" w:rsidRPr="00626813" w:rsidRDefault="003B1EDB" w:rsidP="00385C1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62681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1.</w:t>
            </w:r>
            <w:r w:rsidR="00DE47C7" w:rsidRPr="0062681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24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FFA8B" w14:textId="77777777" w:rsidR="00DE47C7" w:rsidRPr="00626813" w:rsidRDefault="00DE47C7" w:rsidP="00385C1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B455E" w14:textId="77777777" w:rsidR="00DE47C7" w:rsidRPr="00626813" w:rsidRDefault="00DE47C7" w:rsidP="00385C1A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90FAB3" w14:textId="77777777" w:rsidR="00DE47C7" w:rsidRPr="00626813" w:rsidRDefault="00DE47C7" w:rsidP="00385C1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62681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DE47C7" w:rsidRPr="00626813" w14:paraId="508DC657" w14:textId="77777777" w:rsidTr="00DE47C7">
        <w:trPr>
          <w:trHeight w:val="300"/>
        </w:trPr>
        <w:tc>
          <w:tcPr>
            <w:tcW w:w="9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3944DE" w14:textId="77777777" w:rsidR="00DE47C7" w:rsidRPr="00626813" w:rsidRDefault="00DE47C7" w:rsidP="00385C1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62681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MET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40285" w14:textId="77777777" w:rsidR="00DE47C7" w:rsidRPr="00626813" w:rsidRDefault="00DE47C7" w:rsidP="00385C1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1642F" w14:textId="77777777" w:rsidR="00DE47C7" w:rsidRPr="00626813" w:rsidRDefault="00DE47C7" w:rsidP="00385C1A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D3DF0" w14:textId="66932B74" w:rsidR="00DE47C7" w:rsidRPr="00626813" w:rsidRDefault="00396A1D" w:rsidP="00385C1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62681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2.</w:t>
            </w:r>
            <w:r w:rsidR="00DE47C7" w:rsidRPr="0062681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93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DE904" w14:textId="77777777" w:rsidR="00DE47C7" w:rsidRPr="00626813" w:rsidRDefault="00DE47C7" w:rsidP="00385C1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62681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2.68 (-0.10, 5.31)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12D93" w14:textId="14A6BAF3" w:rsidR="00DE47C7" w:rsidRPr="00626813" w:rsidRDefault="00396A1D" w:rsidP="00385C1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62681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0.</w:t>
            </w:r>
            <w:r w:rsidR="00DE47C7" w:rsidRPr="0062681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030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E2244" w14:textId="77777777" w:rsidR="00DE47C7" w:rsidRPr="00626813" w:rsidRDefault="00DE47C7" w:rsidP="00385C1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55795" w14:textId="77777777" w:rsidR="00DE47C7" w:rsidRPr="00626813" w:rsidRDefault="00DE47C7" w:rsidP="00385C1A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DB08B" w14:textId="35314551" w:rsidR="00DE47C7" w:rsidRPr="00626813" w:rsidRDefault="003B1EDB" w:rsidP="00385C1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62681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0.</w:t>
            </w:r>
            <w:r w:rsidR="00DE47C7" w:rsidRPr="0062681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35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A8DEE" w14:textId="77777777" w:rsidR="00DE47C7" w:rsidRPr="00626813" w:rsidRDefault="00DE47C7" w:rsidP="00385C1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62681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0.32 (-1.51, 2.10)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C3973D" w14:textId="08BD1F8D" w:rsidR="00DE47C7" w:rsidRPr="00626813" w:rsidRDefault="003B1EDB" w:rsidP="00385C1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62681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0.</w:t>
            </w:r>
            <w:r w:rsidR="00DE47C7" w:rsidRPr="0062681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373</w:t>
            </w:r>
          </w:p>
        </w:tc>
      </w:tr>
      <w:tr w:rsidR="00DE47C7" w:rsidRPr="00626813" w14:paraId="32ECAD5D" w14:textId="77777777" w:rsidTr="00DE47C7">
        <w:trPr>
          <w:trHeight w:val="300"/>
        </w:trPr>
        <w:tc>
          <w:tcPr>
            <w:tcW w:w="9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FEE6DF" w14:textId="77777777" w:rsidR="00DE47C7" w:rsidRPr="00626813" w:rsidRDefault="00DE47C7" w:rsidP="00385C1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62681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NER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BEF19" w14:textId="674203D3" w:rsidR="00DE47C7" w:rsidRPr="00626813" w:rsidRDefault="00396A1D" w:rsidP="00385C1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62681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3.</w:t>
            </w:r>
            <w:r w:rsidR="00DE47C7" w:rsidRPr="0062681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06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0761C" w14:textId="2CC4738B" w:rsidR="00DE47C7" w:rsidRPr="00626813" w:rsidRDefault="00396A1D" w:rsidP="00385C1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62681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0.</w:t>
            </w:r>
            <w:r w:rsidR="00DE47C7" w:rsidRPr="0062681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78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FFCE5" w14:textId="77777777" w:rsidR="00DE47C7" w:rsidRPr="00626813" w:rsidRDefault="00DE47C7" w:rsidP="00385C1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5A62C" w14:textId="77777777" w:rsidR="00DE47C7" w:rsidRPr="00626813" w:rsidRDefault="00DE47C7" w:rsidP="00385C1A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4BCAD" w14:textId="77777777" w:rsidR="00DE47C7" w:rsidRPr="00626813" w:rsidRDefault="00DE47C7" w:rsidP="00385C1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62681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718C2" w14:textId="40675370" w:rsidR="00DE47C7" w:rsidRPr="00626813" w:rsidRDefault="003B1EDB" w:rsidP="00385C1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62681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2.</w:t>
            </w:r>
            <w:r w:rsidR="00DE47C7" w:rsidRPr="0062681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72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D9123" w14:textId="37A83BBF" w:rsidR="00DE47C7" w:rsidRPr="00626813" w:rsidRDefault="003B1EDB" w:rsidP="00385C1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62681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1.</w:t>
            </w:r>
            <w:r w:rsidR="00DE47C7" w:rsidRPr="0062681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06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5AA35" w14:textId="77777777" w:rsidR="00DE47C7" w:rsidRPr="00626813" w:rsidRDefault="00DE47C7" w:rsidP="00385C1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F7976" w14:textId="77777777" w:rsidR="00DE47C7" w:rsidRPr="00626813" w:rsidRDefault="00DE47C7" w:rsidP="00385C1A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138547" w14:textId="77777777" w:rsidR="00DE47C7" w:rsidRPr="00626813" w:rsidRDefault="00DE47C7" w:rsidP="00385C1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62681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DE47C7" w:rsidRPr="00626813" w14:paraId="5E092ECC" w14:textId="77777777" w:rsidTr="00DE47C7">
        <w:trPr>
          <w:trHeight w:val="315"/>
        </w:trPr>
        <w:tc>
          <w:tcPr>
            <w:tcW w:w="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C3A7F2" w14:textId="77777777" w:rsidR="00DE47C7" w:rsidRPr="00626813" w:rsidRDefault="00DE47C7" w:rsidP="00385C1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62681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ER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0EBC9E" w14:textId="21FA113D" w:rsidR="00DE47C7" w:rsidRPr="00626813" w:rsidRDefault="00396A1D" w:rsidP="00385C1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62681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1.</w:t>
            </w:r>
            <w:r w:rsidR="00DE47C7" w:rsidRPr="0062681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34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66BABD" w14:textId="70D0E71D" w:rsidR="00DE47C7" w:rsidRPr="00626813" w:rsidRDefault="00396A1D" w:rsidP="00385C1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62681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0.</w:t>
            </w:r>
            <w:r w:rsidR="00DE47C7" w:rsidRPr="0062681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16A71F" w14:textId="77777777" w:rsidR="00DE47C7" w:rsidRPr="00626813" w:rsidRDefault="00DE47C7" w:rsidP="00385C1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62681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162E85" w14:textId="77777777" w:rsidR="00DE47C7" w:rsidRPr="00626813" w:rsidRDefault="00DE47C7" w:rsidP="00385C1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62681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3917E" w14:textId="77777777" w:rsidR="00DE47C7" w:rsidRPr="00626813" w:rsidRDefault="00DE47C7" w:rsidP="00385C1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62681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F134EA" w14:textId="1F89468A" w:rsidR="00DE47C7" w:rsidRPr="00626813" w:rsidRDefault="003B1EDB" w:rsidP="00385C1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62681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2.</w:t>
            </w:r>
            <w:r w:rsidR="00DE47C7" w:rsidRPr="0062681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44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87B9F0" w14:textId="0C576F88" w:rsidR="00DE47C7" w:rsidRPr="00626813" w:rsidRDefault="003B1EDB" w:rsidP="00385C1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62681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0.</w:t>
            </w:r>
            <w:r w:rsidR="00DE47C7" w:rsidRPr="0062681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40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F53096" w14:textId="77777777" w:rsidR="00DE47C7" w:rsidRPr="00626813" w:rsidRDefault="00DE47C7" w:rsidP="00385C1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62681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55C2D6" w14:textId="77777777" w:rsidR="00DE47C7" w:rsidRPr="00626813" w:rsidRDefault="00DE47C7" w:rsidP="00385C1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62681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204523" w14:textId="77777777" w:rsidR="00DE47C7" w:rsidRPr="00626813" w:rsidRDefault="00DE47C7" w:rsidP="00385C1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62681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DE47C7" w:rsidRPr="00626813" w14:paraId="23B9E992" w14:textId="77777777" w:rsidTr="00DE47C7">
        <w:trPr>
          <w:trHeight w:val="315"/>
        </w:trPr>
        <w:tc>
          <w:tcPr>
            <w:tcW w:w="97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553535" w14:textId="77777777" w:rsidR="00DE47C7" w:rsidRPr="00626813" w:rsidRDefault="00DE47C7" w:rsidP="00385C1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62681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9506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E6F7B6" w14:textId="77777777" w:rsidR="00DE47C7" w:rsidRPr="00626813" w:rsidRDefault="00DE47C7" w:rsidP="00385C1A">
            <w:pPr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nl-NL"/>
              </w:rPr>
            </w:pPr>
            <w:r w:rsidRPr="0062681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nl-NL"/>
              </w:rPr>
              <w:t>Set 2, NER (n=4) vs ER (n=3), df = 5</w:t>
            </w:r>
          </w:p>
        </w:tc>
      </w:tr>
      <w:tr w:rsidR="00DE47C7" w:rsidRPr="00626813" w14:paraId="56E44EF1" w14:textId="77777777" w:rsidTr="00DE47C7">
        <w:trPr>
          <w:trHeight w:val="300"/>
        </w:trPr>
        <w:tc>
          <w:tcPr>
            <w:tcW w:w="9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424175" w14:textId="77777777" w:rsidR="00DE47C7" w:rsidRPr="00626813" w:rsidRDefault="00DE47C7" w:rsidP="00385C1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62681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FZD5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600EB" w14:textId="77777777" w:rsidR="00DE47C7" w:rsidRPr="00626813" w:rsidRDefault="00DE47C7" w:rsidP="00385C1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62681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E01ED" w14:textId="77777777" w:rsidR="00DE47C7" w:rsidRPr="00626813" w:rsidRDefault="00DE47C7" w:rsidP="00385C1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62681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CB0AB" w14:textId="36365CA0" w:rsidR="00DE47C7" w:rsidRPr="00626813" w:rsidRDefault="004D3487" w:rsidP="00385C1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62681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-1.</w:t>
            </w:r>
            <w:r w:rsidR="00DE47C7" w:rsidRPr="0062681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60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28C94" w14:textId="77777777" w:rsidR="00DE47C7" w:rsidRPr="00626813" w:rsidRDefault="00DE47C7" w:rsidP="00385C1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62681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-1.22 (-2.85, 0.49)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7D85D" w14:textId="0C5F342A" w:rsidR="00DE47C7" w:rsidRPr="00626813" w:rsidRDefault="004D3487" w:rsidP="00385C1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62681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0.</w:t>
            </w:r>
            <w:r w:rsidR="00DE47C7" w:rsidRPr="0062681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085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45662" w14:textId="77777777" w:rsidR="00DE47C7" w:rsidRPr="00626813" w:rsidRDefault="00DE47C7" w:rsidP="00385C1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62681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2A4F8" w14:textId="77777777" w:rsidR="00DE47C7" w:rsidRPr="00626813" w:rsidRDefault="00DE47C7" w:rsidP="00385C1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62681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FC736" w14:textId="71E4EB23" w:rsidR="00DE47C7" w:rsidRPr="00626813" w:rsidRDefault="004D3487" w:rsidP="00385C1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62681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1.</w:t>
            </w:r>
            <w:r w:rsidR="00DE47C7" w:rsidRPr="0062681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25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A4C0A" w14:textId="77777777" w:rsidR="00DE47C7" w:rsidRPr="00626813" w:rsidRDefault="00DE47C7" w:rsidP="00385C1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62681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0.95 (-0.69, 2.51)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740B5A" w14:textId="72CD73DA" w:rsidR="00DE47C7" w:rsidRPr="00626813" w:rsidRDefault="004D3487" w:rsidP="00385C1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62681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0.</w:t>
            </w:r>
            <w:r w:rsidR="00DE47C7" w:rsidRPr="0062681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134</w:t>
            </w:r>
          </w:p>
        </w:tc>
      </w:tr>
      <w:tr w:rsidR="00DE47C7" w:rsidRPr="00626813" w14:paraId="6C2008CE" w14:textId="77777777" w:rsidTr="00DE47C7">
        <w:trPr>
          <w:trHeight w:val="300"/>
        </w:trPr>
        <w:tc>
          <w:tcPr>
            <w:tcW w:w="9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B545D3" w14:textId="77777777" w:rsidR="00DE47C7" w:rsidRPr="00626813" w:rsidRDefault="00DE47C7" w:rsidP="00385C1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62681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NER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47410" w14:textId="4F4DD155" w:rsidR="00DE47C7" w:rsidRPr="00626813" w:rsidRDefault="004D3487" w:rsidP="00385C1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62681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8.</w:t>
            </w:r>
            <w:r w:rsidR="00DE47C7" w:rsidRPr="0062681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06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55D6F" w14:textId="0EB3D6CE" w:rsidR="00DE47C7" w:rsidRPr="00626813" w:rsidRDefault="004D3487" w:rsidP="00385C1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62681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2.</w:t>
            </w:r>
            <w:r w:rsidR="00DE47C7" w:rsidRPr="0062681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47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E3A12" w14:textId="77777777" w:rsidR="00DE47C7" w:rsidRPr="00626813" w:rsidRDefault="00DE47C7" w:rsidP="00385C1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6C113" w14:textId="77777777" w:rsidR="00DE47C7" w:rsidRPr="00626813" w:rsidRDefault="00DE47C7" w:rsidP="00385C1A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9A52E" w14:textId="77777777" w:rsidR="00DE47C7" w:rsidRPr="00626813" w:rsidRDefault="00DE47C7" w:rsidP="00385C1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62681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2C727" w14:textId="7C1A35BE" w:rsidR="00DE47C7" w:rsidRPr="00626813" w:rsidRDefault="004D3487" w:rsidP="00385C1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62681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11.</w:t>
            </w:r>
            <w:r w:rsidR="00DE47C7" w:rsidRPr="0062681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61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EFD4F" w14:textId="22F9E802" w:rsidR="00DE47C7" w:rsidRPr="00626813" w:rsidRDefault="004D3487" w:rsidP="00385C1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62681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5.</w:t>
            </w:r>
            <w:r w:rsidR="00DE47C7" w:rsidRPr="0062681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96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886E2" w14:textId="77777777" w:rsidR="00DE47C7" w:rsidRPr="00626813" w:rsidRDefault="00DE47C7" w:rsidP="00385C1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B5501" w14:textId="77777777" w:rsidR="00DE47C7" w:rsidRPr="00626813" w:rsidRDefault="00DE47C7" w:rsidP="00385C1A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F8FD73" w14:textId="77777777" w:rsidR="00DE47C7" w:rsidRPr="00626813" w:rsidRDefault="00DE47C7" w:rsidP="00385C1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62681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DE47C7" w:rsidRPr="00626813" w14:paraId="177C43E9" w14:textId="77777777" w:rsidTr="00DE47C7">
        <w:trPr>
          <w:trHeight w:val="300"/>
        </w:trPr>
        <w:tc>
          <w:tcPr>
            <w:tcW w:w="9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FEB38F" w14:textId="77777777" w:rsidR="00DE47C7" w:rsidRPr="00626813" w:rsidRDefault="00DE47C7" w:rsidP="00385C1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62681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ER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B3E00" w14:textId="6426F225" w:rsidR="00DE47C7" w:rsidRPr="00626813" w:rsidRDefault="004D3487" w:rsidP="00385C1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62681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11.</w:t>
            </w:r>
            <w:r w:rsidR="00DE47C7" w:rsidRPr="0062681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61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68A06" w14:textId="6AE9A8D2" w:rsidR="00DE47C7" w:rsidRPr="00626813" w:rsidRDefault="004D3487" w:rsidP="00385C1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62681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5.</w:t>
            </w:r>
            <w:r w:rsidR="00DE47C7" w:rsidRPr="0062681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96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9E41E" w14:textId="77777777" w:rsidR="00DE47C7" w:rsidRPr="00626813" w:rsidRDefault="00DE47C7" w:rsidP="00385C1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127DF" w14:textId="77777777" w:rsidR="00DE47C7" w:rsidRPr="00626813" w:rsidRDefault="00DE47C7" w:rsidP="00385C1A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348BC" w14:textId="77777777" w:rsidR="00DE47C7" w:rsidRPr="00626813" w:rsidRDefault="00DE47C7" w:rsidP="00385C1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62681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A5360" w14:textId="75249C93" w:rsidR="00DE47C7" w:rsidRPr="00626813" w:rsidRDefault="004D3487" w:rsidP="00385C1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62681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6.</w:t>
            </w:r>
            <w:r w:rsidR="00DE47C7" w:rsidRPr="0062681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73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D661C" w14:textId="6CD692D8" w:rsidR="00DE47C7" w:rsidRPr="00626813" w:rsidRDefault="004D3487" w:rsidP="00385C1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62681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3.</w:t>
            </w:r>
            <w:r w:rsidR="00DE47C7" w:rsidRPr="0062681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55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33104" w14:textId="77777777" w:rsidR="00DE47C7" w:rsidRPr="00626813" w:rsidRDefault="00DE47C7" w:rsidP="00385C1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C2F0F" w14:textId="77777777" w:rsidR="00DE47C7" w:rsidRPr="00626813" w:rsidRDefault="00DE47C7" w:rsidP="00385C1A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D62CAA" w14:textId="77777777" w:rsidR="00DE47C7" w:rsidRPr="00626813" w:rsidRDefault="00DE47C7" w:rsidP="00385C1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62681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DE47C7" w:rsidRPr="00626813" w14:paraId="567F91E7" w14:textId="77777777" w:rsidTr="00DE47C7">
        <w:trPr>
          <w:trHeight w:val="300"/>
        </w:trPr>
        <w:tc>
          <w:tcPr>
            <w:tcW w:w="9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46066E" w14:textId="77777777" w:rsidR="00DE47C7" w:rsidRPr="00626813" w:rsidRDefault="00DE47C7" w:rsidP="00385C1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62681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LEPR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17A0F" w14:textId="77777777" w:rsidR="00DE47C7" w:rsidRPr="00626813" w:rsidRDefault="00DE47C7" w:rsidP="00385C1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471F5" w14:textId="77777777" w:rsidR="00DE47C7" w:rsidRPr="00626813" w:rsidRDefault="00DE47C7" w:rsidP="00385C1A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49C0B" w14:textId="432E930B" w:rsidR="00DE47C7" w:rsidRPr="00626813" w:rsidRDefault="004D3487" w:rsidP="00385C1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62681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-4.</w:t>
            </w:r>
            <w:r w:rsidR="00DE47C7" w:rsidRPr="0062681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66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33C3F" w14:textId="77777777" w:rsidR="00DE47C7" w:rsidRPr="00626813" w:rsidRDefault="00DE47C7" w:rsidP="00385C1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62681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-3.56 (-6.13, -0.91)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B0618" w14:textId="0E12618B" w:rsidR="00DE47C7" w:rsidRPr="00626813" w:rsidRDefault="004D3487" w:rsidP="00385C1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62681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0.</w:t>
            </w:r>
            <w:r w:rsidR="00DE47C7" w:rsidRPr="0062681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003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58BF4" w14:textId="77777777" w:rsidR="00DE47C7" w:rsidRPr="00626813" w:rsidRDefault="00DE47C7" w:rsidP="00385C1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6E32F" w14:textId="77777777" w:rsidR="00DE47C7" w:rsidRPr="00626813" w:rsidRDefault="00DE47C7" w:rsidP="00385C1A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67038" w14:textId="676B871F" w:rsidR="00DE47C7" w:rsidRPr="00626813" w:rsidRDefault="004D3487" w:rsidP="00385C1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62681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0.</w:t>
            </w:r>
            <w:r w:rsidR="00DE47C7" w:rsidRPr="0062681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88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BEEC8" w14:textId="77777777" w:rsidR="00DE47C7" w:rsidRPr="00626813" w:rsidRDefault="00DE47C7" w:rsidP="00385C1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62681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0.67 (-0.91, 2.19)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C451B7" w14:textId="5CCAAD26" w:rsidR="00DE47C7" w:rsidRPr="00626813" w:rsidRDefault="004D3487" w:rsidP="00385C1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62681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0.</w:t>
            </w:r>
            <w:r w:rsidR="00DE47C7" w:rsidRPr="0062681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210</w:t>
            </w:r>
          </w:p>
        </w:tc>
      </w:tr>
      <w:tr w:rsidR="00DE47C7" w:rsidRPr="00626813" w14:paraId="29A7C5C0" w14:textId="77777777" w:rsidTr="00DE47C7">
        <w:trPr>
          <w:trHeight w:val="300"/>
        </w:trPr>
        <w:tc>
          <w:tcPr>
            <w:tcW w:w="9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0D1C23" w14:textId="77777777" w:rsidR="00DE47C7" w:rsidRPr="00626813" w:rsidRDefault="00DE47C7" w:rsidP="00385C1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62681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NER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D6705" w14:textId="218B9A95" w:rsidR="00DE47C7" w:rsidRPr="00626813" w:rsidRDefault="004D3487" w:rsidP="00385C1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62681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3.</w:t>
            </w:r>
            <w:r w:rsidR="00DE47C7" w:rsidRPr="0062681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74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611D8" w14:textId="5AF0DD6C" w:rsidR="00DE47C7" w:rsidRPr="00626813" w:rsidRDefault="004D3487" w:rsidP="00385C1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62681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1.</w:t>
            </w:r>
            <w:r w:rsidR="00DE47C7" w:rsidRPr="0062681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22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75BF1" w14:textId="77777777" w:rsidR="00DE47C7" w:rsidRPr="00626813" w:rsidRDefault="00DE47C7" w:rsidP="00385C1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F098A" w14:textId="77777777" w:rsidR="00DE47C7" w:rsidRPr="00626813" w:rsidRDefault="00DE47C7" w:rsidP="00385C1A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DB691" w14:textId="77777777" w:rsidR="00DE47C7" w:rsidRPr="00626813" w:rsidRDefault="00DE47C7" w:rsidP="00385C1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62681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1C4CC" w14:textId="0C9BCC9C" w:rsidR="00DE47C7" w:rsidRPr="00626813" w:rsidRDefault="004D3487" w:rsidP="00385C1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62681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7.</w:t>
            </w:r>
            <w:r w:rsidR="00DE47C7" w:rsidRPr="0062681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30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7A425" w14:textId="7EA8308B" w:rsidR="00DE47C7" w:rsidRPr="00626813" w:rsidRDefault="004D3487" w:rsidP="00385C1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62681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3.</w:t>
            </w:r>
            <w:r w:rsidR="00DE47C7" w:rsidRPr="0062681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35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0F7B5" w14:textId="77777777" w:rsidR="00DE47C7" w:rsidRPr="00626813" w:rsidRDefault="00DE47C7" w:rsidP="00385C1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BB38C" w14:textId="77777777" w:rsidR="00DE47C7" w:rsidRPr="00626813" w:rsidRDefault="00DE47C7" w:rsidP="00385C1A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B3BEB4" w14:textId="77777777" w:rsidR="00DE47C7" w:rsidRPr="00626813" w:rsidRDefault="00DE47C7" w:rsidP="00385C1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62681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DE47C7" w:rsidRPr="00626813" w14:paraId="2356E5CB" w14:textId="77777777" w:rsidTr="00DE47C7">
        <w:trPr>
          <w:trHeight w:val="300"/>
        </w:trPr>
        <w:tc>
          <w:tcPr>
            <w:tcW w:w="9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5A1FBB" w14:textId="77777777" w:rsidR="00DE47C7" w:rsidRPr="00626813" w:rsidRDefault="00DE47C7" w:rsidP="00385C1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62681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ER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01FA0" w14:textId="7A9999EC" w:rsidR="00DE47C7" w:rsidRPr="00626813" w:rsidRDefault="004D3487" w:rsidP="00385C1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62681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7.</w:t>
            </w:r>
            <w:r w:rsidR="00DE47C7" w:rsidRPr="0062681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30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A1D09" w14:textId="61131641" w:rsidR="00DE47C7" w:rsidRPr="00626813" w:rsidRDefault="004D3487" w:rsidP="00385C1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62681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3.</w:t>
            </w:r>
            <w:r w:rsidR="00DE47C7" w:rsidRPr="0062681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35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8A8ED" w14:textId="77777777" w:rsidR="00DE47C7" w:rsidRPr="00626813" w:rsidRDefault="00DE47C7" w:rsidP="00385C1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570F3" w14:textId="77777777" w:rsidR="00DE47C7" w:rsidRPr="00626813" w:rsidRDefault="00DE47C7" w:rsidP="00385C1A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B06D8" w14:textId="77777777" w:rsidR="00DE47C7" w:rsidRPr="00626813" w:rsidRDefault="00DE47C7" w:rsidP="00385C1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62681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2943D" w14:textId="7508F176" w:rsidR="00DE47C7" w:rsidRPr="00626813" w:rsidRDefault="004D3487" w:rsidP="00385C1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62681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5.</w:t>
            </w:r>
            <w:r w:rsidR="00DE47C7" w:rsidRPr="0062681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42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DC719" w14:textId="66147F0D" w:rsidR="00DE47C7" w:rsidRPr="00626813" w:rsidRDefault="004D3487" w:rsidP="00385C1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62681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1.</w:t>
            </w:r>
            <w:r w:rsidR="00DE47C7" w:rsidRPr="0062681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66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BC2E1" w14:textId="77777777" w:rsidR="00DE47C7" w:rsidRPr="00626813" w:rsidRDefault="00DE47C7" w:rsidP="00385C1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FFF71" w14:textId="77777777" w:rsidR="00DE47C7" w:rsidRPr="00626813" w:rsidRDefault="00DE47C7" w:rsidP="00385C1A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475364" w14:textId="77777777" w:rsidR="00DE47C7" w:rsidRPr="00626813" w:rsidRDefault="00DE47C7" w:rsidP="00385C1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62681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DE47C7" w:rsidRPr="00626813" w14:paraId="410B944F" w14:textId="77777777" w:rsidTr="00DE47C7">
        <w:trPr>
          <w:trHeight w:val="300"/>
        </w:trPr>
        <w:tc>
          <w:tcPr>
            <w:tcW w:w="9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BA54A4" w14:textId="77777777" w:rsidR="00DE47C7" w:rsidRPr="00626813" w:rsidRDefault="00DE47C7" w:rsidP="00385C1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62681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IRS2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E04C0" w14:textId="77777777" w:rsidR="00DE47C7" w:rsidRPr="00626813" w:rsidRDefault="00DE47C7" w:rsidP="00385C1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9062E" w14:textId="77777777" w:rsidR="00DE47C7" w:rsidRPr="00626813" w:rsidRDefault="00DE47C7" w:rsidP="00385C1A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ED0AE" w14:textId="660FE9A7" w:rsidR="00DE47C7" w:rsidRPr="00626813" w:rsidRDefault="004D3487" w:rsidP="00385C1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62681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-0.</w:t>
            </w:r>
            <w:r w:rsidR="00DE47C7" w:rsidRPr="0062681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98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85F01" w14:textId="77777777" w:rsidR="00DE47C7" w:rsidRPr="00626813" w:rsidRDefault="00DE47C7" w:rsidP="00385C1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62681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-0.75 (-2.28, 0.85)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18142" w14:textId="6D195A44" w:rsidR="00DE47C7" w:rsidRPr="00626813" w:rsidRDefault="004D3487" w:rsidP="00385C1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62681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0.</w:t>
            </w:r>
            <w:r w:rsidR="00DE47C7" w:rsidRPr="0062681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185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876EE" w14:textId="77777777" w:rsidR="00DE47C7" w:rsidRPr="00626813" w:rsidRDefault="00DE47C7" w:rsidP="00385C1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7338C" w14:textId="77777777" w:rsidR="00DE47C7" w:rsidRPr="00626813" w:rsidRDefault="00DE47C7" w:rsidP="00385C1A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14658" w14:textId="5B3DB802" w:rsidR="00DE47C7" w:rsidRPr="00626813" w:rsidRDefault="004D3487" w:rsidP="00385C1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62681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1.</w:t>
            </w:r>
            <w:r w:rsidR="00DE47C7" w:rsidRPr="0062681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04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4788F" w14:textId="77777777" w:rsidR="00DE47C7" w:rsidRPr="00626813" w:rsidRDefault="00DE47C7" w:rsidP="00385C1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62681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0.79 (-0.81, 2.33)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E1D095" w14:textId="454FD238" w:rsidR="00DE47C7" w:rsidRPr="00626813" w:rsidRDefault="004D3487" w:rsidP="00385C1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62681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0.</w:t>
            </w:r>
            <w:r w:rsidR="00DE47C7" w:rsidRPr="0062681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174</w:t>
            </w:r>
          </w:p>
        </w:tc>
      </w:tr>
      <w:tr w:rsidR="00DE47C7" w:rsidRPr="00626813" w14:paraId="3F9E0159" w14:textId="77777777" w:rsidTr="00DE47C7">
        <w:trPr>
          <w:trHeight w:val="300"/>
        </w:trPr>
        <w:tc>
          <w:tcPr>
            <w:tcW w:w="9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456CAB" w14:textId="77777777" w:rsidR="00DE47C7" w:rsidRPr="00626813" w:rsidRDefault="00DE47C7" w:rsidP="00385C1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62681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NER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6D163" w14:textId="7683D0EF" w:rsidR="00DE47C7" w:rsidRPr="00626813" w:rsidRDefault="004D3487" w:rsidP="00385C1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62681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1.</w:t>
            </w:r>
            <w:r w:rsidR="00DE47C7" w:rsidRPr="0062681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51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B80C8" w14:textId="082D9B57" w:rsidR="00DE47C7" w:rsidRPr="00626813" w:rsidRDefault="004D3487" w:rsidP="00385C1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62681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0.</w:t>
            </w:r>
            <w:r w:rsidR="00DE47C7" w:rsidRPr="0062681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61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84CE1" w14:textId="77777777" w:rsidR="00DE47C7" w:rsidRPr="00626813" w:rsidRDefault="00DE47C7" w:rsidP="00385C1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A0D81" w14:textId="77777777" w:rsidR="00DE47C7" w:rsidRPr="00626813" w:rsidRDefault="00DE47C7" w:rsidP="00385C1A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50FCB" w14:textId="77777777" w:rsidR="00DE47C7" w:rsidRPr="00626813" w:rsidRDefault="00DE47C7" w:rsidP="00385C1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62681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B9107" w14:textId="4E9D41AB" w:rsidR="00DE47C7" w:rsidRPr="00626813" w:rsidRDefault="004D3487" w:rsidP="00385C1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62681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3.</w:t>
            </w:r>
            <w:r w:rsidR="00DE47C7" w:rsidRPr="0062681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06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76873" w14:textId="303418F8" w:rsidR="00DE47C7" w:rsidRPr="00626813" w:rsidRDefault="004D3487" w:rsidP="00385C1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62681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2.</w:t>
            </w:r>
            <w:r w:rsidR="00DE47C7" w:rsidRPr="0062681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40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ED261" w14:textId="77777777" w:rsidR="00DE47C7" w:rsidRPr="00626813" w:rsidRDefault="00DE47C7" w:rsidP="00385C1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99B77" w14:textId="77777777" w:rsidR="00DE47C7" w:rsidRPr="00626813" w:rsidRDefault="00DE47C7" w:rsidP="00385C1A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3E2854" w14:textId="77777777" w:rsidR="00DE47C7" w:rsidRPr="00626813" w:rsidRDefault="00DE47C7" w:rsidP="00385C1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62681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DE47C7" w:rsidRPr="00626813" w14:paraId="46301CA8" w14:textId="77777777" w:rsidTr="00DE47C7">
        <w:trPr>
          <w:trHeight w:val="300"/>
        </w:trPr>
        <w:tc>
          <w:tcPr>
            <w:tcW w:w="9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A67D37" w14:textId="77777777" w:rsidR="00DE47C7" w:rsidRPr="00626813" w:rsidRDefault="00DE47C7" w:rsidP="00385C1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62681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ER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E5E34" w14:textId="49681515" w:rsidR="00DE47C7" w:rsidRPr="00626813" w:rsidRDefault="004D3487" w:rsidP="00385C1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62681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3.</w:t>
            </w:r>
            <w:r w:rsidR="00DE47C7" w:rsidRPr="0062681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06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0C5B7" w14:textId="00B57ED1" w:rsidR="00DE47C7" w:rsidRPr="00626813" w:rsidRDefault="004D3487" w:rsidP="00385C1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62681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2.</w:t>
            </w:r>
            <w:r w:rsidR="00DE47C7" w:rsidRPr="0062681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40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DA244" w14:textId="77777777" w:rsidR="00DE47C7" w:rsidRPr="00626813" w:rsidRDefault="00DE47C7" w:rsidP="00385C1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71207" w14:textId="77777777" w:rsidR="00DE47C7" w:rsidRPr="00626813" w:rsidRDefault="00DE47C7" w:rsidP="00385C1A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B5734" w14:textId="77777777" w:rsidR="00DE47C7" w:rsidRPr="00626813" w:rsidRDefault="00DE47C7" w:rsidP="00385C1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62681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D5CBA" w14:textId="026B0C74" w:rsidR="00DE47C7" w:rsidRPr="00626813" w:rsidRDefault="004D3487" w:rsidP="00385C1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62681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1.</w:t>
            </w:r>
            <w:r w:rsidR="00DE47C7" w:rsidRPr="0062681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50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B28B4" w14:textId="1E5B7DC9" w:rsidR="00DE47C7" w:rsidRPr="00626813" w:rsidRDefault="004D3487" w:rsidP="00385C1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62681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1.</w:t>
            </w:r>
            <w:r w:rsidR="00DE47C7" w:rsidRPr="0062681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02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57921" w14:textId="77777777" w:rsidR="00DE47C7" w:rsidRPr="00626813" w:rsidRDefault="00DE47C7" w:rsidP="00385C1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4A482" w14:textId="77777777" w:rsidR="00DE47C7" w:rsidRPr="00626813" w:rsidRDefault="00DE47C7" w:rsidP="00385C1A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77C793" w14:textId="77777777" w:rsidR="00DE47C7" w:rsidRPr="00626813" w:rsidRDefault="00DE47C7" w:rsidP="00385C1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62681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DE47C7" w:rsidRPr="00626813" w14:paraId="3AA97E89" w14:textId="77777777" w:rsidTr="00DE47C7">
        <w:trPr>
          <w:trHeight w:val="300"/>
        </w:trPr>
        <w:tc>
          <w:tcPr>
            <w:tcW w:w="9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C83318" w14:textId="77777777" w:rsidR="00DE47C7" w:rsidRPr="00626813" w:rsidRDefault="00DE47C7" w:rsidP="00385C1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62681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AKT3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D064C" w14:textId="77777777" w:rsidR="00DE47C7" w:rsidRPr="00626813" w:rsidRDefault="00DE47C7" w:rsidP="00385C1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75EA4" w14:textId="77777777" w:rsidR="00DE47C7" w:rsidRPr="00626813" w:rsidRDefault="00DE47C7" w:rsidP="00385C1A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66290" w14:textId="52CA79B0" w:rsidR="00DE47C7" w:rsidRPr="00626813" w:rsidRDefault="004D3487" w:rsidP="00385C1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62681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-0.</w:t>
            </w:r>
            <w:r w:rsidR="00DE47C7" w:rsidRPr="0062681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60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015DD" w14:textId="77777777" w:rsidR="00DE47C7" w:rsidRPr="00626813" w:rsidRDefault="00DE47C7" w:rsidP="00385C1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62681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-0.46 (-1.96, 1.08)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39A2D" w14:textId="66CE55CA" w:rsidR="00DE47C7" w:rsidRPr="00626813" w:rsidRDefault="004D3487" w:rsidP="00385C1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62681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0.</w:t>
            </w:r>
            <w:r w:rsidR="00DE47C7" w:rsidRPr="0062681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287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E707D" w14:textId="77777777" w:rsidR="00DE47C7" w:rsidRPr="00626813" w:rsidRDefault="00DE47C7" w:rsidP="00385C1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E3178" w14:textId="77777777" w:rsidR="00DE47C7" w:rsidRPr="00626813" w:rsidRDefault="00DE47C7" w:rsidP="00385C1A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C9C10" w14:textId="61A97204" w:rsidR="00DE47C7" w:rsidRPr="00626813" w:rsidRDefault="004D3487" w:rsidP="00385C1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62681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1.</w:t>
            </w:r>
            <w:r w:rsidR="00DE47C7" w:rsidRPr="0062681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68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BF8FE" w14:textId="77777777" w:rsidR="00DE47C7" w:rsidRPr="00626813" w:rsidRDefault="00DE47C7" w:rsidP="00385C1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62681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1.28 (-0.45, 2.92)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0BE052" w14:textId="225611FF" w:rsidR="00DE47C7" w:rsidRPr="00626813" w:rsidRDefault="004D3487" w:rsidP="00385C1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62681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0.</w:t>
            </w:r>
            <w:r w:rsidR="00DE47C7" w:rsidRPr="0062681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077</w:t>
            </w:r>
          </w:p>
        </w:tc>
      </w:tr>
      <w:tr w:rsidR="00DE47C7" w:rsidRPr="00626813" w14:paraId="62565435" w14:textId="77777777" w:rsidTr="00DE47C7">
        <w:trPr>
          <w:trHeight w:val="300"/>
        </w:trPr>
        <w:tc>
          <w:tcPr>
            <w:tcW w:w="9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6811F5" w14:textId="77777777" w:rsidR="00DE47C7" w:rsidRPr="00626813" w:rsidRDefault="00DE47C7" w:rsidP="00385C1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62681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NER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5A2B9" w14:textId="75160C5B" w:rsidR="00DE47C7" w:rsidRPr="00626813" w:rsidRDefault="004D3487" w:rsidP="00385C1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62681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10.</w:t>
            </w:r>
            <w:r w:rsidR="00DE47C7" w:rsidRPr="0062681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22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047F6" w14:textId="0EC5FDF8" w:rsidR="00DE47C7" w:rsidRPr="00626813" w:rsidRDefault="004D3487" w:rsidP="00385C1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62681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4.</w:t>
            </w:r>
            <w:r w:rsidR="00DE47C7" w:rsidRPr="0062681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11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5570C" w14:textId="77777777" w:rsidR="00DE47C7" w:rsidRPr="00626813" w:rsidRDefault="00DE47C7" w:rsidP="00385C1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9476B" w14:textId="77777777" w:rsidR="00DE47C7" w:rsidRPr="00626813" w:rsidRDefault="00DE47C7" w:rsidP="00385C1A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5A878" w14:textId="77777777" w:rsidR="00DE47C7" w:rsidRPr="00626813" w:rsidRDefault="00DE47C7" w:rsidP="00385C1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62681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CB9D8" w14:textId="4D9FE880" w:rsidR="00DE47C7" w:rsidRPr="00626813" w:rsidRDefault="004D3487" w:rsidP="00385C1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62681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15.</w:t>
            </w:r>
            <w:r w:rsidR="00DE47C7" w:rsidRPr="0062681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29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25A6E" w14:textId="7A14DC01" w:rsidR="00DE47C7" w:rsidRPr="00626813" w:rsidRDefault="004D3487" w:rsidP="00385C1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62681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8.</w:t>
            </w:r>
            <w:r w:rsidR="00DE47C7" w:rsidRPr="0062681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26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3E1F6" w14:textId="77777777" w:rsidR="00DE47C7" w:rsidRPr="00626813" w:rsidRDefault="00DE47C7" w:rsidP="00385C1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07675" w14:textId="77777777" w:rsidR="00DE47C7" w:rsidRPr="00626813" w:rsidRDefault="00DE47C7" w:rsidP="00385C1A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9D230B" w14:textId="77777777" w:rsidR="00DE47C7" w:rsidRPr="00626813" w:rsidRDefault="00DE47C7" w:rsidP="00385C1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62681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DE47C7" w:rsidRPr="00626813" w14:paraId="2C5A448D" w14:textId="77777777" w:rsidTr="00DE47C7">
        <w:trPr>
          <w:trHeight w:val="300"/>
        </w:trPr>
        <w:tc>
          <w:tcPr>
            <w:tcW w:w="9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E94ECC" w14:textId="77777777" w:rsidR="00DE47C7" w:rsidRPr="00626813" w:rsidRDefault="00DE47C7" w:rsidP="00385C1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62681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ER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09DE9" w14:textId="127D4F5E" w:rsidR="00DE47C7" w:rsidRPr="00626813" w:rsidRDefault="004D3487" w:rsidP="00385C1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62681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15.</w:t>
            </w:r>
            <w:r w:rsidR="00DE47C7" w:rsidRPr="0062681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29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6B727" w14:textId="6BE019FC" w:rsidR="00DE47C7" w:rsidRPr="00626813" w:rsidRDefault="004D3487" w:rsidP="00385C1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62681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8.</w:t>
            </w:r>
            <w:r w:rsidR="00DE47C7" w:rsidRPr="0062681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26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D4643" w14:textId="77777777" w:rsidR="00DE47C7" w:rsidRPr="00626813" w:rsidRDefault="00DE47C7" w:rsidP="00385C1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D2BD1" w14:textId="77777777" w:rsidR="00DE47C7" w:rsidRPr="00626813" w:rsidRDefault="00DE47C7" w:rsidP="00385C1A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6C29A" w14:textId="77777777" w:rsidR="00DE47C7" w:rsidRPr="00626813" w:rsidRDefault="00DE47C7" w:rsidP="00385C1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62681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440F9" w14:textId="5020C702" w:rsidR="00DE47C7" w:rsidRPr="00626813" w:rsidRDefault="004D3487" w:rsidP="00385C1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62681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6.</w:t>
            </w:r>
            <w:r w:rsidR="00DE47C7" w:rsidRPr="0062681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87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D5EAF" w14:textId="43A2A128" w:rsidR="00DE47C7" w:rsidRPr="00626813" w:rsidRDefault="004D3487" w:rsidP="00385C1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62681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2.</w:t>
            </w:r>
            <w:r w:rsidR="00DE47C7" w:rsidRPr="0062681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42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62B55" w14:textId="77777777" w:rsidR="00DE47C7" w:rsidRPr="00626813" w:rsidRDefault="00DE47C7" w:rsidP="00385C1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9017E" w14:textId="77777777" w:rsidR="00DE47C7" w:rsidRPr="00626813" w:rsidRDefault="00DE47C7" w:rsidP="00385C1A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DB1FA7" w14:textId="77777777" w:rsidR="00DE47C7" w:rsidRPr="00626813" w:rsidRDefault="00DE47C7" w:rsidP="00385C1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62681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DE47C7" w:rsidRPr="00626813" w14:paraId="2BF0769A" w14:textId="77777777" w:rsidTr="00DE47C7">
        <w:trPr>
          <w:trHeight w:val="300"/>
        </w:trPr>
        <w:tc>
          <w:tcPr>
            <w:tcW w:w="9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04AADE" w14:textId="77777777" w:rsidR="00DE47C7" w:rsidRPr="00626813" w:rsidRDefault="00DE47C7" w:rsidP="00385C1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62681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MET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BD1BA" w14:textId="77777777" w:rsidR="00DE47C7" w:rsidRPr="00626813" w:rsidRDefault="00DE47C7" w:rsidP="00385C1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9A690" w14:textId="77777777" w:rsidR="00DE47C7" w:rsidRPr="00626813" w:rsidRDefault="00DE47C7" w:rsidP="00385C1A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79B8E" w14:textId="0DAA1FEB" w:rsidR="00DE47C7" w:rsidRPr="00626813" w:rsidRDefault="004D3487" w:rsidP="00385C1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62681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-0.</w:t>
            </w:r>
            <w:r w:rsidR="00DE47C7" w:rsidRPr="0062681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84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78E18" w14:textId="77777777" w:rsidR="00DE47C7" w:rsidRPr="00626813" w:rsidRDefault="00DE47C7" w:rsidP="00385C1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62681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-0.64 (-2.16, 0.93)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3240E" w14:textId="5B31E447" w:rsidR="00DE47C7" w:rsidRPr="00626813" w:rsidRDefault="004D3487" w:rsidP="00385C1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62681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0.</w:t>
            </w:r>
            <w:r w:rsidR="00DE47C7" w:rsidRPr="0062681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220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B184F" w14:textId="77777777" w:rsidR="00DE47C7" w:rsidRPr="00626813" w:rsidRDefault="00DE47C7" w:rsidP="00385C1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065C3" w14:textId="77777777" w:rsidR="00DE47C7" w:rsidRPr="00626813" w:rsidRDefault="00DE47C7" w:rsidP="00385C1A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CEC98" w14:textId="4404CF20" w:rsidR="00DE47C7" w:rsidRPr="00626813" w:rsidRDefault="004D3487" w:rsidP="00385C1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62681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1.</w:t>
            </w:r>
            <w:r w:rsidR="00DE47C7" w:rsidRPr="0062681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30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D3559" w14:textId="77777777" w:rsidR="00DE47C7" w:rsidRPr="00626813" w:rsidRDefault="00DE47C7" w:rsidP="00385C1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62681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0.99 (-0.66, 2.56)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445EA9" w14:textId="3CCB09EB" w:rsidR="00DE47C7" w:rsidRPr="00626813" w:rsidRDefault="004D3487" w:rsidP="00385C1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62681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0.</w:t>
            </w:r>
            <w:r w:rsidR="00DE47C7" w:rsidRPr="0062681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125</w:t>
            </w:r>
          </w:p>
        </w:tc>
      </w:tr>
      <w:tr w:rsidR="00DE47C7" w:rsidRPr="00626813" w14:paraId="0279F85C" w14:textId="77777777" w:rsidTr="00DE47C7">
        <w:trPr>
          <w:trHeight w:val="300"/>
        </w:trPr>
        <w:tc>
          <w:tcPr>
            <w:tcW w:w="9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02B981" w14:textId="77777777" w:rsidR="00DE47C7" w:rsidRPr="00626813" w:rsidRDefault="00DE47C7" w:rsidP="00385C1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62681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NER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34F3F" w14:textId="665D7871" w:rsidR="00DE47C7" w:rsidRPr="00626813" w:rsidRDefault="004D3487" w:rsidP="00385C1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62681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4.</w:t>
            </w:r>
            <w:r w:rsidR="00DE47C7" w:rsidRPr="0062681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83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4055E" w14:textId="4E857712" w:rsidR="00DE47C7" w:rsidRPr="00626813" w:rsidRDefault="004D3487" w:rsidP="00385C1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62681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1.</w:t>
            </w:r>
            <w:r w:rsidR="00DE47C7" w:rsidRPr="0062681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71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ECD0E" w14:textId="77777777" w:rsidR="00DE47C7" w:rsidRPr="00626813" w:rsidRDefault="00DE47C7" w:rsidP="00385C1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D46C2" w14:textId="77777777" w:rsidR="00DE47C7" w:rsidRPr="00626813" w:rsidRDefault="00DE47C7" w:rsidP="00385C1A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074E9" w14:textId="77777777" w:rsidR="00DE47C7" w:rsidRPr="00626813" w:rsidRDefault="00DE47C7" w:rsidP="00385C1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62681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21930" w14:textId="7AC11BFD" w:rsidR="00DE47C7" w:rsidRPr="00626813" w:rsidRDefault="004D3487" w:rsidP="00385C1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62681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7.</w:t>
            </w:r>
            <w:r w:rsidR="00DE47C7" w:rsidRPr="0062681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58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D1ABB" w14:textId="04F32D52" w:rsidR="00DE47C7" w:rsidRPr="00626813" w:rsidRDefault="004D3487" w:rsidP="00385C1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62681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5.</w:t>
            </w:r>
            <w:r w:rsidR="00DE47C7" w:rsidRPr="0062681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52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75F08" w14:textId="77777777" w:rsidR="00DE47C7" w:rsidRPr="00626813" w:rsidRDefault="00DE47C7" w:rsidP="00385C1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5B3B6" w14:textId="77777777" w:rsidR="00DE47C7" w:rsidRPr="00626813" w:rsidRDefault="00DE47C7" w:rsidP="00385C1A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EC25FB" w14:textId="77777777" w:rsidR="00DE47C7" w:rsidRPr="00626813" w:rsidRDefault="00DE47C7" w:rsidP="00385C1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62681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DE47C7" w:rsidRPr="00626813" w14:paraId="5EA3D433" w14:textId="77777777" w:rsidTr="00DE47C7">
        <w:trPr>
          <w:trHeight w:val="315"/>
        </w:trPr>
        <w:tc>
          <w:tcPr>
            <w:tcW w:w="9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39A3A9" w14:textId="77777777" w:rsidR="00DE47C7" w:rsidRPr="00626813" w:rsidRDefault="00DE47C7" w:rsidP="00385C1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62681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ER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4853C0" w14:textId="4CB3F995" w:rsidR="00DE47C7" w:rsidRPr="00626813" w:rsidRDefault="004D3487" w:rsidP="00385C1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62681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7.</w:t>
            </w:r>
            <w:r w:rsidR="00DE47C7" w:rsidRPr="0062681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58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C1D6EC" w14:textId="376B0332" w:rsidR="00DE47C7" w:rsidRPr="00626813" w:rsidRDefault="004D3487" w:rsidP="00385C1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62681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5.</w:t>
            </w:r>
            <w:r w:rsidR="00DE47C7" w:rsidRPr="0062681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52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5F0455" w14:textId="77777777" w:rsidR="00DE47C7" w:rsidRPr="00626813" w:rsidRDefault="00DE47C7" w:rsidP="00385C1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62681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362099" w14:textId="77777777" w:rsidR="00DE47C7" w:rsidRPr="00626813" w:rsidRDefault="00DE47C7" w:rsidP="00385C1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62681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D60D5" w14:textId="77777777" w:rsidR="00DE47C7" w:rsidRPr="00626813" w:rsidRDefault="00DE47C7" w:rsidP="00385C1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62681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C8774A" w14:textId="2091D976" w:rsidR="00DE47C7" w:rsidRPr="00626813" w:rsidRDefault="004D3487" w:rsidP="00385C1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62681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3.</w:t>
            </w:r>
            <w:r w:rsidR="00DE47C7" w:rsidRPr="0062681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30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95164B" w14:textId="26FA1F36" w:rsidR="00DE47C7" w:rsidRPr="00626813" w:rsidRDefault="004D3487" w:rsidP="00385C1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62681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0.</w:t>
            </w:r>
            <w:r w:rsidR="00DE47C7" w:rsidRPr="0062681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86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850EDE" w14:textId="77777777" w:rsidR="00DE47C7" w:rsidRPr="00626813" w:rsidRDefault="00DE47C7" w:rsidP="00385C1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62681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982967" w14:textId="77777777" w:rsidR="00DE47C7" w:rsidRPr="00626813" w:rsidRDefault="00DE47C7" w:rsidP="00385C1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62681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79043A" w14:textId="77777777" w:rsidR="00DE47C7" w:rsidRPr="00626813" w:rsidRDefault="00DE47C7" w:rsidP="00385C1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626813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DE47C7" w:rsidRPr="00FE1384" w14:paraId="6BD8F123" w14:textId="77777777" w:rsidTr="00DE47C7">
        <w:trPr>
          <w:trHeight w:val="769"/>
        </w:trPr>
        <w:tc>
          <w:tcPr>
            <w:tcW w:w="1048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108C08" w14:textId="0DC33AF1" w:rsidR="00DE47C7" w:rsidRPr="00FE1384" w:rsidRDefault="00DE47C7" w:rsidP="00385C1A">
            <w:pPr>
              <w:jc w:val="both"/>
              <w:rPr>
                <w:rFonts w:ascii="Palatino Linotype" w:hAnsi="Palatino Linotype" w:cs="Calibri"/>
                <w:color w:val="000000"/>
                <w:sz w:val="20"/>
                <w:szCs w:val="20"/>
                <w:lang w:val="en-US"/>
              </w:rPr>
            </w:pPr>
            <w:r w:rsidRPr="00626813">
              <w:rPr>
                <w:rFonts w:ascii="Palatino Linotype" w:hAnsi="Palatino Linotype" w:cs="Calibri"/>
                <w:color w:val="000000"/>
                <w:sz w:val="20"/>
                <w:szCs w:val="20"/>
                <w:lang w:val="en-US"/>
              </w:rPr>
              <w:t>Abbreviations:  early recurrence (ER), no early recurrence (NER</w:t>
            </w:r>
            <w:r w:rsidR="004A7E5C" w:rsidRPr="00626813">
              <w:rPr>
                <w:rFonts w:ascii="Palatino Linotype" w:hAnsi="Palatino Linotype" w:cs="Calibri"/>
                <w:color w:val="000000"/>
                <w:sz w:val="20"/>
                <w:szCs w:val="20"/>
                <w:lang w:val="en-US"/>
              </w:rPr>
              <w:t>), degrees</w:t>
            </w:r>
            <w:r w:rsidRPr="00626813">
              <w:rPr>
                <w:rFonts w:ascii="Palatino Linotype" w:hAnsi="Palatino Linotype" w:cs="Calibri"/>
                <w:color w:val="000000"/>
                <w:sz w:val="20"/>
                <w:szCs w:val="20"/>
                <w:lang w:val="en-US"/>
              </w:rPr>
              <w:t xml:space="preserve"> of freedom (df), standard deviation (std), Cohen's D (d), Confidence Interval (CI), p-value (p).</w:t>
            </w:r>
            <w:r w:rsidRPr="00FE1384">
              <w:rPr>
                <w:rFonts w:ascii="Palatino Linotype" w:hAnsi="Palatino Linotype" w:cs="Calibri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</w:tbl>
    <w:p w14:paraId="5F7CB466" w14:textId="4A5FCBB7" w:rsidR="00DE47C7" w:rsidRDefault="00DE47C7" w:rsidP="00385C1A">
      <w:pPr>
        <w:jc w:val="both"/>
      </w:pPr>
    </w:p>
    <w:sectPr w:rsidR="00DE47C7" w:rsidSect="00D47714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6977A9" w14:textId="77777777" w:rsidR="00CE49DD" w:rsidRDefault="00CE49DD">
      <w:r>
        <w:separator/>
      </w:r>
    </w:p>
  </w:endnote>
  <w:endnote w:type="continuationSeparator" w:id="0">
    <w:p w14:paraId="36C06D42" w14:textId="77777777" w:rsidR="00CE49DD" w:rsidRDefault="00CE49DD">
      <w:r>
        <w:continuationSeparator/>
      </w:r>
    </w:p>
  </w:endnote>
  <w:endnote w:type="continuationNotice" w:id="1">
    <w:p w14:paraId="30A73426" w14:textId="77777777" w:rsidR="00CE49DD" w:rsidRDefault="00CE49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413343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112337" w14:textId="361EE9F0" w:rsidR="00D90519" w:rsidRDefault="00D9051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5219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AB4D2C8" w14:textId="77777777" w:rsidR="00D90519" w:rsidRDefault="00D90519" w:rsidP="00D4771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3F00A8" w14:textId="77777777" w:rsidR="00CE49DD" w:rsidRDefault="00CE49DD">
      <w:r>
        <w:separator/>
      </w:r>
    </w:p>
  </w:footnote>
  <w:footnote w:type="continuationSeparator" w:id="0">
    <w:p w14:paraId="6B13EB41" w14:textId="77777777" w:rsidR="00CE49DD" w:rsidRDefault="00CE49DD">
      <w:r>
        <w:continuationSeparator/>
      </w:r>
    </w:p>
  </w:footnote>
  <w:footnote w:type="continuationNotice" w:id="1">
    <w:p w14:paraId="6DF5B73A" w14:textId="77777777" w:rsidR="00CE49DD" w:rsidRDefault="00CE49D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0D90519" w14:paraId="7F14CA52" w14:textId="77777777" w:rsidTr="008D4F04">
      <w:trPr>
        <w:trHeight w:val="300"/>
      </w:trPr>
      <w:tc>
        <w:tcPr>
          <w:tcW w:w="3120" w:type="dxa"/>
        </w:tcPr>
        <w:p w14:paraId="4A3594A9" w14:textId="77777777" w:rsidR="00D90519" w:rsidRDefault="00D90519" w:rsidP="008D4F04">
          <w:pPr>
            <w:ind w:left="-115"/>
          </w:pPr>
        </w:p>
      </w:tc>
      <w:tc>
        <w:tcPr>
          <w:tcW w:w="3120" w:type="dxa"/>
        </w:tcPr>
        <w:p w14:paraId="0494E819" w14:textId="77777777" w:rsidR="00D90519" w:rsidRDefault="00D90519" w:rsidP="008D4F04">
          <w:pPr>
            <w:jc w:val="center"/>
          </w:pPr>
        </w:p>
      </w:tc>
      <w:tc>
        <w:tcPr>
          <w:tcW w:w="3120" w:type="dxa"/>
        </w:tcPr>
        <w:p w14:paraId="5F98AC3F" w14:textId="77777777" w:rsidR="00D90519" w:rsidRDefault="00D90519" w:rsidP="008D4F04">
          <w:pPr>
            <w:ind w:right="-115"/>
            <w:jc w:val="right"/>
          </w:pPr>
        </w:p>
      </w:tc>
    </w:tr>
  </w:tbl>
  <w:p w14:paraId="5BA29908" w14:textId="77777777" w:rsidR="00D90519" w:rsidRDefault="00D90519" w:rsidP="00D4771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A20119"/>
    <w:multiLevelType w:val="hybridMultilevel"/>
    <w:tmpl w:val="13B2D280"/>
    <w:lvl w:ilvl="0" w:tplc="04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C007E2"/>
    <w:multiLevelType w:val="hybridMultilevel"/>
    <w:tmpl w:val="AF14393E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824D76"/>
    <w:multiLevelType w:val="hybridMultilevel"/>
    <w:tmpl w:val="5F883FB6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Vancouver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1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rezx9rprazt2diefspuxfe58evv00wd0arw5&quot;&gt;My EndNote Library-Converted&lt;record-ids&gt;&lt;item&gt;2803&lt;/item&gt;&lt;item&gt;2804&lt;/item&gt;&lt;item&gt;2964&lt;/item&gt;&lt;item&gt;2970&lt;/item&gt;&lt;item&gt;2971&lt;/item&gt;&lt;item&gt;3047&lt;/item&gt;&lt;item&gt;3141&lt;/item&gt;&lt;item&gt;3166&lt;/item&gt;&lt;item&gt;3231&lt;/item&gt;&lt;item&gt;3261&lt;/item&gt;&lt;item&gt;3262&lt;/item&gt;&lt;/record-ids&gt;&lt;/item&gt;&lt;/Libraries&gt;"/>
  </w:docVars>
  <w:rsids>
    <w:rsidRoot w:val="00D47714"/>
    <w:rsid w:val="00000539"/>
    <w:rsid w:val="000061AF"/>
    <w:rsid w:val="0000659A"/>
    <w:rsid w:val="00012C49"/>
    <w:rsid w:val="0001496E"/>
    <w:rsid w:val="00056A27"/>
    <w:rsid w:val="000607C7"/>
    <w:rsid w:val="000700B9"/>
    <w:rsid w:val="00070248"/>
    <w:rsid w:val="0007039F"/>
    <w:rsid w:val="000811F7"/>
    <w:rsid w:val="00082227"/>
    <w:rsid w:val="0008619A"/>
    <w:rsid w:val="000900D4"/>
    <w:rsid w:val="000A0657"/>
    <w:rsid w:val="000A123C"/>
    <w:rsid w:val="000A6B2F"/>
    <w:rsid w:val="000C14EF"/>
    <w:rsid w:val="000C2638"/>
    <w:rsid w:val="000D19D7"/>
    <w:rsid w:val="000D23A3"/>
    <w:rsid w:val="000D6D56"/>
    <w:rsid w:val="000E47B7"/>
    <w:rsid w:val="000E66BA"/>
    <w:rsid w:val="000F0B23"/>
    <w:rsid w:val="000F51EC"/>
    <w:rsid w:val="00125B5D"/>
    <w:rsid w:val="00127F3B"/>
    <w:rsid w:val="00132E7A"/>
    <w:rsid w:val="00137F02"/>
    <w:rsid w:val="00156D56"/>
    <w:rsid w:val="0016001E"/>
    <w:rsid w:val="00166396"/>
    <w:rsid w:val="00173136"/>
    <w:rsid w:val="0018072B"/>
    <w:rsid w:val="00185F2B"/>
    <w:rsid w:val="0019045A"/>
    <w:rsid w:val="00190991"/>
    <w:rsid w:val="0019700B"/>
    <w:rsid w:val="001A6528"/>
    <w:rsid w:val="001B1007"/>
    <w:rsid w:val="001B1960"/>
    <w:rsid w:val="001B5DDA"/>
    <w:rsid w:val="001B7337"/>
    <w:rsid w:val="001B7EE2"/>
    <w:rsid w:val="001C1E32"/>
    <w:rsid w:val="001C5BCA"/>
    <w:rsid w:val="001E2BDB"/>
    <w:rsid w:val="001E48E0"/>
    <w:rsid w:val="001E561E"/>
    <w:rsid w:val="001E6954"/>
    <w:rsid w:val="001F3DC7"/>
    <w:rsid w:val="00204427"/>
    <w:rsid w:val="00204EE4"/>
    <w:rsid w:val="002076C5"/>
    <w:rsid w:val="0021265F"/>
    <w:rsid w:val="00212F0B"/>
    <w:rsid w:val="00213E94"/>
    <w:rsid w:val="002147A9"/>
    <w:rsid w:val="00223CAC"/>
    <w:rsid w:val="0022493E"/>
    <w:rsid w:val="00232159"/>
    <w:rsid w:val="00233B83"/>
    <w:rsid w:val="00260B72"/>
    <w:rsid w:val="00262E72"/>
    <w:rsid w:val="00264695"/>
    <w:rsid w:val="00267CC6"/>
    <w:rsid w:val="002742E1"/>
    <w:rsid w:val="0028079E"/>
    <w:rsid w:val="0028346C"/>
    <w:rsid w:val="00285D9D"/>
    <w:rsid w:val="00286D0C"/>
    <w:rsid w:val="00291A8A"/>
    <w:rsid w:val="00297CE3"/>
    <w:rsid w:val="002A7869"/>
    <w:rsid w:val="002B3148"/>
    <w:rsid w:val="002B52A6"/>
    <w:rsid w:val="002B5F34"/>
    <w:rsid w:val="002C3D28"/>
    <w:rsid w:val="002C7AB7"/>
    <w:rsid w:val="002D7585"/>
    <w:rsid w:val="002E0DE2"/>
    <w:rsid w:val="002E5D9F"/>
    <w:rsid w:val="00302E4B"/>
    <w:rsid w:val="00306949"/>
    <w:rsid w:val="003074D3"/>
    <w:rsid w:val="003074FF"/>
    <w:rsid w:val="00311FB0"/>
    <w:rsid w:val="00332FC1"/>
    <w:rsid w:val="00335320"/>
    <w:rsid w:val="00335B07"/>
    <w:rsid w:val="003406D8"/>
    <w:rsid w:val="00342A84"/>
    <w:rsid w:val="00342AD6"/>
    <w:rsid w:val="003460F5"/>
    <w:rsid w:val="00355D49"/>
    <w:rsid w:val="00357241"/>
    <w:rsid w:val="00361568"/>
    <w:rsid w:val="003621B0"/>
    <w:rsid w:val="00362BAE"/>
    <w:rsid w:val="00374CF2"/>
    <w:rsid w:val="003847FD"/>
    <w:rsid w:val="00385C1A"/>
    <w:rsid w:val="003873D4"/>
    <w:rsid w:val="00396A1D"/>
    <w:rsid w:val="003B1EDB"/>
    <w:rsid w:val="003B2927"/>
    <w:rsid w:val="003B2E90"/>
    <w:rsid w:val="003C108C"/>
    <w:rsid w:val="003C195A"/>
    <w:rsid w:val="003D2F4A"/>
    <w:rsid w:val="003D3FB3"/>
    <w:rsid w:val="003D6E25"/>
    <w:rsid w:val="003D7D2A"/>
    <w:rsid w:val="003E51FD"/>
    <w:rsid w:val="003F112A"/>
    <w:rsid w:val="003F13E4"/>
    <w:rsid w:val="00423B6F"/>
    <w:rsid w:val="00426B98"/>
    <w:rsid w:val="004312D7"/>
    <w:rsid w:val="00432906"/>
    <w:rsid w:val="004333EA"/>
    <w:rsid w:val="0043532B"/>
    <w:rsid w:val="00442FA2"/>
    <w:rsid w:val="00452F7D"/>
    <w:rsid w:val="004544CE"/>
    <w:rsid w:val="00462734"/>
    <w:rsid w:val="0046579E"/>
    <w:rsid w:val="00472C1C"/>
    <w:rsid w:val="00490E15"/>
    <w:rsid w:val="004930B7"/>
    <w:rsid w:val="004932F8"/>
    <w:rsid w:val="00495A13"/>
    <w:rsid w:val="004A6B9B"/>
    <w:rsid w:val="004A773A"/>
    <w:rsid w:val="004A7E5C"/>
    <w:rsid w:val="004B78E8"/>
    <w:rsid w:val="004D3487"/>
    <w:rsid w:val="004D493B"/>
    <w:rsid w:val="004D61D4"/>
    <w:rsid w:val="004F033E"/>
    <w:rsid w:val="004F366E"/>
    <w:rsid w:val="004F72F8"/>
    <w:rsid w:val="0051064C"/>
    <w:rsid w:val="00511116"/>
    <w:rsid w:val="00511339"/>
    <w:rsid w:val="00511BDC"/>
    <w:rsid w:val="00513BBA"/>
    <w:rsid w:val="0052101E"/>
    <w:rsid w:val="00522A00"/>
    <w:rsid w:val="00523A0C"/>
    <w:rsid w:val="0052434D"/>
    <w:rsid w:val="005245D9"/>
    <w:rsid w:val="00527323"/>
    <w:rsid w:val="005330E6"/>
    <w:rsid w:val="00535421"/>
    <w:rsid w:val="00552F32"/>
    <w:rsid w:val="00554DB4"/>
    <w:rsid w:val="0056118C"/>
    <w:rsid w:val="00563F21"/>
    <w:rsid w:val="005648AC"/>
    <w:rsid w:val="00566FE8"/>
    <w:rsid w:val="005743ED"/>
    <w:rsid w:val="00576EC2"/>
    <w:rsid w:val="00584694"/>
    <w:rsid w:val="00586699"/>
    <w:rsid w:val="005A36F8"/>
    <w:rsid w:val="005A48E4"/>
    <w:rsid w:val="005A52F6"/>
    <w:rsid w:val="005A55B6"/>
    <w:rsid w:val="005B098E"/>
    <w:rsid w:val="005B1F5D"/>
    <w:rsid w:val="005B2072"/>
    <w:rsid w:val="005B4067"/>
    <w:rsid w:val="005B5E97"/>
    <w:rsid w:val="005D0DE6"/>
    <w:rsid w:val="005D71E1"/>
    <w:rsid w:val="005F36EB"/>
    <w:rsid w:val="005F589A"/>
    <w:rsid w:val="005F621E"/>
    <w:rsid w:val="005F627A"/>
    <w:rsid w:val="00603847"/>
    <w:rsid w:val="00610C66"/>
    <w:rsid w:val="00613152"/>
    <w:rsid w:val="00615AD8"/>
    <w:rsid w:val="006214F5"/>
    <w:rsid w:val="006231E7"/>
    <w:rsid w:val="006258DE"/>
    <w:rsid w:val="00625BF7"/>
    <w:rsid w:val="00626813"/>
    <w:rsid w:val="00630426"/>
    <w:rsid w:val="00641FEE"/>
    <w:rsid w:val="00652EE3"/>
    <w:rsid w:val="0066415C"/>
    <w:rsid w:val="00664B4A"/>
    <w:rsid w:val="00664FA3"/>
    <w:rsid w:val="00665C16"/>
    <w:rsid w:val="00695063"/>
    <w:rsid w:val="00697924"/>
    <w:rsid w:val="00697C3F"/>
    <w:rsid w:val="006A313F"/>
    <w:rsid w:val="006A73AC"/>
    <w:rsid w:val="006B0AD2"/>
    <w:rsid w:val="006B70CE"/>
    <w:rsid w:val="006C4FF0"/>
    <w:rsid w:val="006F12A7"/>
    <w:rsid w:val="00711DDA"/>
    <w:rsid w:val="00714B1C"/>
    <w:rsid w:val="00720531"/>
    <w:rsid w:val="00722833"/>
    <w:rsid w:val="0072769B"/>
    <w:rsid w:val="007335F7"/>
    <w:rsid w:val="00741DA5"/>
    <w:rsid w:val="00747ABD"/>
    <w:rsid w:val="00767EC3"/>
    <w:rsid w:val="00770026"/>
    <w:rsid w:val="00770BCA"/>
    <w:rsid w:val="00773826"/>
    <w:rsid w:val="00775353"/>
    <w:rsid w:val="00776949"/>
    <w:rsid w:val="00777531"/>
    <w:rsid w:val="0078586C"/>
    <w:rsid w:val="00787404"/>
    <w:rsid w:val="0079029F"/>
    <w:rsid w:val="00792558"/>
    <w:rsid w:val="00792FAC"/>
    <w:rsid w:val="00794EBE"/>
    <w:rsid w:val="007956F9"/>
    <w:rsid w:val="00797130"/>
    <w:rsid w:val="007A692A"/>
    <w:rsid w:val="007B4160"/>
    <w:rsid w:val="007B5285"/>
    <w:rsid w:val="007C4524"/>
    <w:rsid w:val="007C57CF"/>
    <w:rsid w:val="007D2CE7"/>
    <w:rsid w:val="007F002D"/>
    <w:rsid w:val="007F6282"/>
    <w:rsid w:val="00805B42"/>
    <w:rsid w:val="00830D87"/>
    <w:rsid w:val="00831EBA"/>
    <w:rsid w:val="00834911"/>
    <w:rsid w:val="00835FF7"/>
    <w:rsid w:val="00837241"/>
    <w:rsid w:val="0084117F"/>
    <w:rsid w:val="00861AFB"/>
    <w:rsid w:val="00861C4E"/>
    <w:rsid w:val="00874B14"/>
    <w:rsid w:val="0088753B"/>
    <w:rsid w:val="00887CFD"/>
    <w:rsid w:val="00891743"/>
    <w:rsid w:val="00894822"/>
    <w:rsid w:val="008B7EC6"/>
    <w:rsid w:val="008D4F04"/>
    <w:rsid w:val="008D68F0"/>
    <w:rsid w:val="008E011B"/>
    <w:rsid w:val="008E0925"/>
    <w:rsid w:val="008E4767"/>
    <w:rsid w:val="008E7948"/>
    <w:rsid w:val="008F3555"/>
    <w:rsid w:val="008F589C"/>
    <w:rsid w:val="009024AC"/>
    <w:rsid w:val="00907A22"/>
    <w:rsid w:val="009116DF"/>
    <w:rsid w:val="009117ED"/>
    <w:rsid w:val="009134F0"/>
    <w:rsid w:val="00914D97"/>
    <w:rsid w:val="0091608A"/>
    <w:rsid w:val="009325B4"/>
    <w:rsid w:val="00936D6D"/>
    <w:rsid w:val="00937AB4"/>
    <w:rsid w:val="009419EF"/>
    <w:rsid w:val="00941BA4"/>
    <w:rsid w:val="00942964"/>
    <w:rsid w:val="0094476A"/>
    <w:rsid w:val="00944CD2"/>
    <w:rsid w:val="009543EE"/>
    <w:rsid w:val="00955AB8"/>
    <w:rsid w:val="009575C3"/>
    <w:rsid w:val="00961641"/>
    <w:rsid w:val="00980AE0"/>
    <w:rsid w:val="00980C49"/>
    <w:rsid w:val="009814DD"/>
    <w:rsid w:val="0098318B"/>
    <w:rsid w:val="0098509F"/>
    <w:rsid w:val="0098534D"/>
    <w:rsid w:val="009A0AC6"/>
    <w:rsid w:val="009B2073"/>
    <w:rsid w:val="009C031A"/>
    <w:rsid w:val="009C1FF5"/>
    <w:rsid w:val="009C3CD5"/>
    <w:rsid w:val="009C73C4"/>
    <w:rsid w:val="009D3283"/>
    <w:rsid w:val="009D3691"/>
    <w:rsid w:val="009E5436"/>
    <w:rsid w:val="009E74A1"/>
    <w:rsid w:val="009F1EB6"/>
    <w:rsid w:val="00A024EC"/>
    <w:rsid w:val="00A05E89"/>
    <w:rsid w:val="00A07118"/>
    <w:rsid w:val="00A15244"/>
    <w:rsid w:val="00A160F8"/>
    <w:rsid w:val="00A228FC"/>
    <w:rsid w:val="00A34E97"/>
    <w:rsid w:val="00A421B6"/>
    <w:rsid w:val="00A4489A"/>
    <w:rsid w:val="00A53B95"/>
    <w:rsid w:val="00A60ADF"/>
    <w:rsid w:val="00A60F93"/>
    <w:rsid w:val="00A6207C"/>
    <w:rsid w:val="00A67815"/>
    <w:rsid w:val="00A71B60"/>
    <w:rsid w:val="00A744E9"/>
    <w:rsid w:val="00A851B7"/>
    <w:rsid w:val="00A8773D"/>
    <w:rsid w:val="00A92F35"/>
    <w:rsid w:val="00A95172"/>
    <w:rsid w:val="00A95613"/>
    <w:rsid w:val="00AB065A"/>
    <w:rsid w:val="00AB1761"/>
    <w:rsid w:val="00AB1879"/>
    <w:rsid w:val="00AB2CD7"/>
    <w:rsid w:val="00AC75E9"/>
    <w:rsid w:val="00AD32C2"/>
    <w:rsid w:val="00AD75D7"/>
    <w:rsid w:val="00AE0C7D"/>
    <w:rsid w:val="00B07BBC"/>
    <w:rsid w:val="00B11920"/>
    <w:rsid w:val="00B12762"/>
    <w:rsid w:val="00B15D9C"/>
    <w:rsid w:val="00B17F92"/>
    <w:rsid w:val="00B2205C"/>
    <w:rsid w:val="00B24256"/>
    <w:rsid w:val="00B31601"/>
    <w:rsid w:val="00B4346C"/>
    <w:rsid w:val="00B4491B"/>
    <w:rsid w:val="00B504CF"/>
    <w:rsid w:val="00B63A45"/>
    <w:rsid w:val="00B65A41"/>
    <w:rsid w:val="00B66061"/>
    <w:rsid w:val="00B711CC"/>
    <w:rsid w:val="00B807EA"/>
    <w:rsid w:val="00B84B63"/>
    <w:rsid w:val="00B92003"/>
    <w:rsid w:val="00BA3A05"/>
    <w:rsid w:val="00BA4BDD"/>
    <w:rsid w:val="00BB32E5"/>
    <w:rsid w:val="00BB3C31"/>
    <w:rsid w:val="00BB6A98"/>
    <w:rsid w:val="00BC549E"/>
    <w:rsid w:val="00BD089E"/>
    <w:rsid w:val="00BD1CB9"/>
    <w:rsid w:val="00BE1B95"/>
    <w:rsid w:val="00BE5376"/>
    <w:rsid w:val="00BF0671"/>
    <w:rsid w:val="00C01CE0"/>
    <w:rsid w:val="00C06C8C"/>
    <w:rsid w:val="00C1279A"/>
    <w:rsid w:val="00C1361B"/>
    <w:rsid w:val="00C214A2"/>
    <w:rsid w:val="00C21D21"/>
    <w:rsid w:val="00C22CC0"/>
    <w:rsid w:val="00C278EF"/>
    <w:rsid w:val="00C41BBE"/>
    <w:rsid w:val="00C52190"/>
    <w:rsid w:val="00C61A0A"/>
    <w:rsid w:val="00C679D4"/>
    <w:rsid w:val="00C7124E"/>
    <w:rsid w:val="00C75E26"/>
    <w:rsid w:val="00CA1F75"/>
    <w:rsid w:val="00CB00AE"/>
    <w:rsid w:val="00CB3EB5"/>
    <w:rsid w:val="00CC1264"/>
    <w:rsid w:val="00CC1DC8"/>
    <w:rsid w:val="00CC7F30"/>
    <w:rsid w:val="00CD1137"/>
    <w:rsid w:val="00CD12B3"/>
    <w:rsid w:val="00CD7D8B"/>
    <w:rsid w:val="00CD7EAF"/>
    <w:rsid w:val="00CE2F14"/>
    <w:rsid w:val="00CE49DD"/>
    <w:rsid w:val="00CE7595"/>
    <w:rsid w:val="00CF0B65"/>
    <w:rsid w:val="00CF56AF"/>
    <w:rsid w:val="00CF70C5"/>
    <w:rsid w:val="00D02847"/>
    <w:rsid w:val="00D0349D"/>
    <w:rsid w:val="00D20FB1"/>
    <w:rsid w:val="00D22F95"/>
    <w:rsid w:val="00D30F2E"/>
    <w:rsid w:val="00D32108"/>
    <w:rsid w:val="00D35B6A"/>
    <w:rsid w:val="00D36972"/>
    <w:rsid w:val="00D445DA"/>
    <w:rsid w:val="00D46392"/>
    <w:rsid w:val="00D47714"/>
    <w:rsid w:val="00D547C0"/>
    <w:rsid w:val="00D70B1F"/>
    <w:rsid w:val="00D7184A"/>
    <w:rsid w:val="00D83E90"/>
    <w:rsid w:val="00D85FFD"/>
    <w:rsid w:val="00D86EFB"/>
    <w:rsid w:val="00D90519"/>
    <w:rsid w:val="00D93B45"/>
    <w:rsid w:val="00D945E2"/>
    <w:rsid w:val="00DA375F"/>
    <w:rsid w:val="00DA7974"/>
    <w:rsid w:val="00DA79B3"/>
    <w:rsid w:val="00DB28CF"/>
    <w:rsid w:val="00DB4E86"/>
    <w:rsid w:val="00DB7612"/>
    <w:rsid w:val="00DB7CFD"/>
    <w:rsid w:val="00DC1B2B"/>
    <w:rsid w:val="00DC3013"/>
    <w:rsid w:val="00DC5C72"/>
    <w:rsid w:val="00DE47C7"/>
    <w:rsid w:val="00DE7CCF"/>
    <w:rsid w:val="00DF2F63"/>
    <w:rsid w:val="00DF3FC1"/>
    <w:rsid w:val="00DF44A9"/>
    <w:rsid w:val="00DF4A48"/>
    <w:rsid w:val="00E0750D"/>
    <w:rsid w:val="00E25918"/>
    <w:rsid w:val="00E34C8B"/>
    <w:rsid w:val="00E35006"/>
    <w:rsid w:val="00E439DC"/>
    <w:rsid w:val="00E44B4C"/>
    <w:rsid w:val="00E46A85"/>
    <w:rsid w:val="00E50DA8"/>
    <w:rsid w:val="00E50FF9"/>
    <w:rsid w:val="00E5291C"/>
    <w:rsid w:val="00E56895"/>
    <w:rsid w:val="00E5719E"/>
    <w:rsid w:val="00E57E25"/>
    <w:rsid w:val="00E6279E"/>
    <w:rsid w:val="00E67F84"/>
    <w:rsid w:val="00E8485C"/>
    <w:rsid w:val="00E90E2D"/>
    <w:rsid w:val="00E96877"/>
    <w:rsid w:val="00EA135B"/>
    <w:rsid w:val="00EA2421"/>
    <w:rsid w:val="00EA3393"/>
    <w:rsid w:val="00EB005C"/>
    <w:rsid w:val="00EB25D3"/>
    <w:rsid w:val="00EB54AE"/>
    <w:rsid w:val="00EB6436"/>
    <w:rsid w:val="00EB683F"/>
    <w:rsid w:val="00ED1F7D"/>
    <w:rsid w:val="00EE3C8B"/>
    <w:rsid w:val="00F07413"/>
    <w:rsid w:val="00F11C97"/>
    <w:rsid w:val="00F1309E"/>
    <w:rsid w:val="00F13E9F"/>
    <w:rsid w:val="00F2059F"/>
    <w:rsid w:val="00F2577B"/>
    <w:rsid w:val="00F27E6B"/>
    <w:rsid w:val="00F30D41"/>
    <w:rsid w:val="00F405D5"/>
    <w:rsid w:val="00F46A6B"/>
    <w:rsid w:val="00F46BA3"/>
    <w:rsid w:val="00F50FB2"/>
    <w:rsid w:val="00F60B01"/>
    <w:rsid w:val="00F618FF"/>
    <w:rsid w:val="00F87A9F"/>
    <w:rsid w:val="00FA3A28"/>
    <w:rsid w:val="00FA42C5"/>
    <w:rsid w:val="00FA5525"/>
    <w:rsid w:val="00FB3117"/>
    <w:rsid w:val="00FB51E8"/>
    <w:rsid w:val="00FC5FB1"/>
    <w:rsid w:val="00FD537E"/>
    <w:rsid w:val="00FE1384"/>
    <w:rsid w:val="00FE5C47"/>
    <w:rsid w:val="00FF023E"/>
    <w:rsid w:val="00FF5D73"/>
    <w:rsid w:val="022AFA1D"/>
    <w:rsid w:val="02B758EF"/>
    <w:rsid w:val="02C8A132"/>
    <w:rsid w:val="0470E63E"/>
    <w:rsid w:val="05418B57"/>
    <w:rsid w:val="077AFC2D"/>
    <w:rsid w:val="08DD8B45"/>
    <w:rsid w:val="0A23C183"/>
    <w:rsid w:val="0A75C16D"/>
    <w:rsid w:val="0B343649"/>
    <w:rsid w:val="0BC5EBD6"/>
    <w:rsid w:val="0BFC7D00"/>
    <w:rsid w:val="0E11BAE8"/>
    <w:rsid w:val="0F12F7FE"/>
    <w:rsid w:val="1077EFFC"/>
    <w:rsid w:val="120F2136"/>
    <w:rsid w:val="130108D9"/>
    <w:rsid w:val="13F73344"/>
    <w:rsid w:val="14CD0043"/>
    <w:rsid w:val="1B08BFC4"/>
    <w:rsid w:val="1B49A17C"/>
    <w:rsid w:val="1C11F07E"/>
    <w:rsid w:val="1CEE452D"/>
    <w:rsid w:val="1E8F1930"/>
    <w:rsid w:val="1FDF1988"/>
    <w:rsid w:val="209044CE"/>
    <w:rsid w:val="216076F3"/>
    <w:rsid w:val="21A9A0F0"/>
    <w:rsid w:val="223B16B2"/>
    <w:rsid w:val="22794F7D"/>
    <w:rsid w:val="2939C716"/>
    <w:rsid w:val="2A705252"/>
    <w:rsid w:val="2B9C8E53"/>
    <w:rsid w:val="2CB6FEDB"/>
    <w:rsid w:val="2D8EB02C"/>
    <w:rsid w:val="2E7DFF46"/>
    <w:rsid w:val="2F1A2389"/>
    <w:rsid w:val="3007C798"/>
    <w:rsid w:val="32494DF1"/>
    <w:rsid w:val="32AAB582"/>
    <w:rsid w:val="34A8061C"/>
    <w:rsid w:val="36F2C27F"/>
    <w:rsid w:val="383CE8AD"/>
    <w:rsid w:val="38CA5F49"/>
    <w:rsid w:val="3CC60CAB"/>
    <w:rsid w:val="3D93FDC6"/>
    <w:rsid w:val="3DB45EF8"/>
    <w:rsid w:val="4209F918"/>
    <w:rsid w:val="42B4103A"/>
    <w:rsid w:val="42D06984"/>
    <w:rsid w:val="4528335A"/>
    <w:rsid w:val="46FBFC44"/>
    <w:rsid w:val="478CF1FE"/>
    <w:rsid w:val="47BCC919"/>
    <w:rsid w:val="489C53CE"/>
    <w:rsid w:val="49370C16"/>
    <w:rsid w:val="4A672918"/>
    <w:rsid w:val="4B4F6332"/>
    <w:rsid w:val="4B86F4D4"/>
    <w:rsid w:val="4EC89634"/>
    <w:rsid w:val="4F04BA74"/>
    <w:rsid w:val="50CDF133"/>
    <w:rsid w:val="5135AA9D"/>
    <w:rsid w:val="522D8F69"/>
    <w:rsid w:val="52B288EA"/>
    <w:rsid w:val="532C7036"/>
    <w:rsid w:val="559FD0BA"/>
    <w:rsid w:val="55A4C33A"/>
    <w:rsid w:val="58448C41"/>
    <w:rsid w:val="597B5C73"/>
    <w:rsid w:val="59AC6219"/>
    <w:rsid w:val="5C5949EF"/>
    <w:rsid w:val="5D73016F"/>
    <w:rsid w:val="5DB3F185"/>
    <w:rsid w:val="5E006D8D"/>
    <w:rsid w:val="5EDA5258"/>
    <w:rsid w:val="5EE2B3F1"/>
    <w:rsid w:val="5F34C49E"/>
    <w:rsid w:val="60DE820F"/>
    <w:rsid w:val="60FA3D68"/>
    <w:rsid w:val="61D0AA19"/>
    <w:rsid w:val="6246DFA1"/>
    <w:rsid w:val="65E703D8"/>
    <w:rsid w:val="68BE9BFF"/>
    <w:rsid w:val="68CC0213"/>
    <w:rsid w:val="69AA37C7"/>
    <w:rsid w:val="6F485E21"/>
    <w:rsid w:val="6FF03A72"/>
    <w:rsid w:val="7059D9C9"/>
    <w:rsid w:val="737E1C62"/>
    <w:rsid w:val="775583C4"/>
    <w:rsid w:val="785E3D91"/>
    <w:rsid w:val="7A2A0FFE"/>
    <w:rsid w:val="7C68D792"/>
    <w:rsid w:val="7E3DBA80"/>
    <w:rsid w:val="7F91006F"/>
    <w:rsid w:val="7FC5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ACFC4F"/>
  <w15:chartTrackingRefBased/>
  <w15:docId w15:val="{D3FAE928-1B0C-47B4-867F-2C41AA78D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77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47714"/>
    <w:pPr>
      <w:spacing w:before="100" w:beforeAutospacing="1" w:after="100" w:afterAutospacing="1"/>
    </w:pPr>
    <w:rPr>
      <w:rFonts w:eastAsiaTheme="minorEastAsia"/>
    </w:rPr>
  </w:style>
  <w:style w:type="paragraph" w:customStyle="1" w:styleId="EndNoteBibliographyTitle">
    <w:name w:val="EndNote Bibliography Title"/>
    <w:basedOn w:val="Normal"/>
    <w:link w:val="EndNoteBibliographyTitleChar"/>
    <w:rsid w:val="00D47714"/>
    <w:pPr>
      <w:jc w:val="center"/>
    </w:pPr>
    <w:rPr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D47714"/>
    <w:rPr>
      <w:rFonts w:ascii="Times New Roman" w:eastAsia="Times New Roman" w:hAnsi="Times New Roman" w:cs="Times New Roman"/>
      <w:sz w:val="24"/>
      <w:szCs w:val="24"/>
    </w:rPr>
  </w:style>
  <w:style w:type="paragraph" w:customStyle="1" w:styleId="EndNoteBibliography">
    <w:name w:val="EndNote Bibliography"/>
    <w:basedOn w:val="Normal"/>
    <w:link w:val="EndNoteBibliographyChar"/>
    <w:rsid w:val="00D47714"/>
    <w:rPr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D47714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47714"/>
    <w:rPr>
      <w:color w:val="0000FF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rsid w:val="00D47714"/>
    <w:pPr>
      <w:spacing w:after="160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47714"/>
    <w:rPr>
      <w:rFonts w:ascii="Times New Roman" w:eastAsia="Times New Roman" w:hAnsi="Times New Roman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D47714"/>
    <w:rPr>
      <w:b/>
      <w:bCs/>
    </w:rPr>
  </w:style>
  <w:style w:type="character" w:customStyle="1" w:styleId="UnresolvedMention1">
    <w:name w:val="Unresolved Mention1"/>
    <w:basedOn w:val="DefaultParagraphFont"/>
    <w:uiPriority w:val="99"/>
    <w:rsid w:val="00D47714"/>
    <w:rPr>
      <w:color w:val="605E5C"/>
      <w:shd w:val="clear" w:color="auto" w:fill="E1DFDD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7714"/>
    <w:rPr>
      <w:rFonts w:ascii="Times New Roman" w:eastAsia="Times New Roman" w:hAnsi="Times New Roman" w:cs="Times New Roman"/>
      <w:b/>
      <w:bCs/>
      <w:sz w:val="20"/>
      <w:szCs w:val="20"/>
      <w:lang w:val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7714"/>
    <w:pPr>
      <w:spacing w:after="0"/>
    </w:pPr>
    <w:rPr>
      <w:b/>
      <w:bCs/>
      <w:lang w:val="en-CA"/>
    </w:rPr>
  </w:style>
  <w:style w:type="paragraph" w:styleId="Revision">
    <w:name w:val="Revision"/>
    <w:hidden/>
    <w:uiPriority w:val="99"/>
    <w:semiHidden/>
    <w:rsid w:val="00D47714"/>
    <w:pPr>
      <w:spacing w:after="0" w:line="240" w:lineRule="auto"/>
    </w:pPr>
    <w:rPr>
      <w:sz w:val="24"/>
      <w:szCs w:val="24"/>
      <w:lang w:val="en-CA"/>
    </w:rPr>
  </w:style>
  <w:style w:type="paragraph" w:styleId="Header">
    <w:name w:val="header"/>
    <w:basedOn w:val="Normal"/>
    <w:link w:val="HeaderChar"/>
    <w:uiPriority w:val="99"/>
    <w:unhideWhenUsed/>
    <w:rsid w:val="00D477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7714"/>
    <w:rPr>
      <w:rFonts w:ascii="Times New Roman" w:eastAsia="Times New Roman" w:hAnsi="Times New Roman" w:cs="Times New Roman"/>
      <w:sz w:val="24"/>
      <w:szCs w:val="24"/>
      <w:lang w:val="en-CA"/>
    </w:rPr>
  </w:style>
  <w:style w:type="paragraph" w:styleId="Footer">
    <w:name w:val="footer"/>
    <w:basedOn w:val="Normal"/>
    <w:link w:val="FooterChar"/>
    <w:uiPriority w:val="99"/>
    <w:unhideWhenUsed/>
    <w:rsid w:val="00D477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7714"/>
    <w:rPr>
      <w:rFonts w:ascii="Times New Roman" w:eastAsia="Times New Roman" w:hAnsi="Times New Roman" w:cs="Times New Roman"/>
      <w:sz w:val="24"/>
      <w:szCs w:val="24"/>
      <w:lang w:val="en-C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714"/>
    <w:rPr>
      <w:rFonts w:ascii="Segoe UI" w:eastAsia="Times New Roman" w:hAnsi="Segoe UI" w:cs="Segoe UI"/>
      <w:sz w:val="18"/>
      <w:szCs w:val="18"/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771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B761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D32C2"/>
    <w:rPr>
      <w:sz w:val="16"/>
      <w:szCs w:val="1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E69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7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8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660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4418</CharactersWithSpaces>
  <SharedDoc>false</SharedDoc>
  <HyperlinkBase/>
  <HLinks>
    <vt:vector size="12" baseType="variant">
      <vt:variant>
        <vt:i4>5636113</vt:i4>
      </vt:variant>
      <vt:variant>
        <vt:i4>3</vt:i4>
      </vt:variant>
      <vt:variant>
        <vt:i4>0</vt:i4>
      </vt:variant>
      <vt:variant>
        <vt:i4>5</vt:i4>
      </vt:variant>
      <vt:variant>
        <vt:lpwstr>https://orcid.org/0000-0002-7726-6654</vt:lpwstr>
      </vt:variant>
      <vt:variant>
        <vt:lpwstr/>
      </vt:variant>
      <vt:variant>
        <vt:i4>655408</vt:i4>
      </vt:variant>
      <vt:variant>
        <vt:i4>0</vt:i4>
      </vt:variant>
      <vt:variant>
        <vt:i4>0</vt:i4>
      </vt:variant>
      <vt:variant>
        <vt:i4>5</vt:i4>
      </vt:variant>
      <vt:variant>
        <vt:lpwstr>mailto:grahamc@queensu.ca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Devendran S</cp:lastModifiedBy>
  <cp:revision>2</cp:revision>
  <cp:lastPrinted>2023-06-13T15:17:00Z</cp:lastPrinted>
  <dcterms:created xsi:type="dcterms:W3CDTF">2023-06-19T08:45:00Z</dcterms:created>
  <dcterms:modified xsi:type="dcterms:W3CDTF">2023-06-19T08:45:00Z</dcterms:modified>
  <cp:category/>
</cp:coreProperties>
</file>