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680" w:rsidRPr="003969EA" w:rsidRDefault="00F61680" w:rsidP="00F61680">
      <w:pPr>
        <w:pStyle w:val="Kop1"/>
        <w:rPr>
          <w:lang w:val="en-US"/>
        </w:rPr>
      </w:pPr>
      <w:bookmarkStart w:id="0" w:name="_GoBack"/>
      <w:bookmarkEnd w:id="0"/>
      <w:r w:rsidRPr="003969EA">
        <w:rPr>
          <w:lang w:val="en-US"/>
        </w:rPr>
        <w:t>Supplementary materials</w:t>
      </w:r>
    </w:p>
    <w:p w:rsidR="00F61680" w:rsidRPr="003969EA" w:rsidRDefault="00F61680" w:rsidP="00F61680">
      <w:pPr>
        <w:pStyle w:val="Geenafstand"/>
        <w:spacing w:line="480" w:lineRule="auto"/>
        <w:jc w:val="center"/>
        <w:rPr>
          <w:rFonts w:cs="Arial"/>
          <w:b/>
          <w:sz w:val="24"/>
          <w:szCs w:val="24"/>
          <w:lang w:val="en-US"/>
        </w:rPr>
      </w:pPr>
      <w:r w:rsidRPr="003969EA">
        <w:rPr>
          <w:rFonts w:cs="Arial"/>
          <w:b/>
          <w:sz w:val="24"/>
          <w:szCs w:val="24"/>
          <w:lang w:val="en-US"/>
        </w:rPr>
        <w:t xml:space="preserve">Prospective evaluation of FDG-PET/CT for On-treatment Assessment of Response to Neoadjuvant or Induction Chemotherapy in Invasive Bladder Cancer </w:t>
      </w:r>
    </w:p>
    <w:p w:rsidR="00013FED" w:rsidRPr="003969EA" w:rsidRDefault="0090083E"/>
    <w:tbl>
      <w:tblPr>
        <w:tblW w:w="6094" w:type="pct"/>
        <w:jc w:val="center"/>
        <w:tblLook w:val="04A0" w:firstRow="1" w:lastRow="0" w:firstColumn="1" w:lastColumn="0" w:noHBand="0" w:noVBand="1"/>
      </w:tblPr>
      <w:tblGrid>
        <w:gridCol w:w="4542"/>
        <w:gridCol w:w="1748"/>
        <w:gridCol w:w="1522"/>
        <w:gridCol w:w="274"/>
        <w:gridCol w:w="1857"/>
        <w:gridCol w:w="1465"/>
      </w:tblGrid>
      <w:tr w:rsidR="00F61680" w:rsidRPr="003969EA" w:rsidTr="006652D7">
        <w:trPr>
          <w:trHeight w:val="1410"/>
          <w:jc w:val="center"/>
        </w:trPr>
        <w:tc>
          <w:tcPr>
            <w:tcW w:w="5000" w:type="pct"/>
            <w:gridSpan w:val="6"/>
            <w:tcBorders>
              <w:top w:val="nil"/>
              <w:left w:val="nil"/>
              <w:bottom w:val="single" w:sz="4" w:space="0" w:color="auto"/>
              <w:right w:val="nil"/>
            </w:tcBorders>
            <w:shd w:val="clear" w:color="000000" w:fill="FFFFFF"/>
            <w:vAlign w:val="center"/>
            <w:hideMark/>
          </w:tcPr>
          <w:p w:rsidR="00F61680" w:rsidRPr="003969EA" w:rsidRDefault="00F61680" w:rsidP="006652D7">
            <w:pPr>
              <w:spacing w:after="0" w:line="240" w:lineRule="auto"/>
              <w:jc w:val="both"/>
              <w:rPr>
                <w:rFonts w:ascii="Calibri" w:eastAsia="Times New Roman" w:hAnsi="Calibri" w:cs="Calibri"/>
                <w:b/>
                <w:bCs/>
              </w:rPr>
            </w:pPr>
            <w:proofErr w:type="spellStart"/>
            <w:r w:rsidRPr="003969EA">
              <w:rPr>
                <w:rFonts w:ascii="Calibri" w:eastAsia="Times New Roman" w:hAnsi="Calibri" w:cs="Calibri"/>
                <w:b/>
                <w:bCs/>
              </w:rPr>
              <w:t>Suppl</w:t>
            </w:r>
            <w:proofErr w:type="spellEnd"/>
            <w:r w:rsidRPr="003969EA">
              <w:rPr>
                <w:rFonts w:ascii="Calibri" w:eastAsia="Times New Roman" w:hAnsi="Calibri" w:cs="Calibri"/>
                <w:b/>
                <w:bCs/>
              </w:rPr>
              <w:t xml:space="preserve"> Table 1. Assessment of response to neoadjuvant/induction chemotherapy for urothelial carcinoma on FDG-PET/CT according to the EORTC criteria versus the Peter Mac criteria. </w:t>
            </w:r>
            <w:r w:rsidRPr="003969EA">
              <w:rPr>
                <w:rFonts w:ascii="Calibri" w:eastAsia="Times New Roman" w:hAnsi="Calibri" w:cs="Calibri"/>
              </w:rPr>
              <w:t xml:space="preserve">Both the EORTC and Peter Mac criteria were used to predict response to neoadjuvant/induction chemotherapy for urothelial carcinoma on FDG-PET/CT. The response criteria rarely yielded different results and accuracy was similar. </w:t>
            </w:r>
          </w:p>
        </w:tc>
      </w:tr>
      <w:tr w:rsidR="00F61680" w:rsidRPr="003969EA" w:rsidTr="006652D7">
        <w:trPr>
          <w:trHeight w:val="9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rPr>
                <w:rFonts w:ascii="Calibri" w:eastAsia="Times New Roman" w:hAnsi="Calibri" w:cs="Calibri"/>
                <w:b/>
                <w:bCs/>
                <w:color w:val="000000"/>
              </w:rPr>
            </w:pPr>
            <w:r w:rsidRPr="003969EA">
              <w:rPr>
                <w:rFonts w:ascii="Calibri" w:eastAsia="Times New Roman" w:hAnsi="Calibri" w:cs="Calibri"/>
                <w:b/>
                <w:bCs/>
                <w:color w:val="000000"/>
              </w:rPr>
              <w:t>Overall</w:t>
            </w:r>
          </w:p>
        </w:tc>
        <w:tc>
          <w:tcPr>
            <w:tcW w:w="766" w:type="pct"/>
            <w:tcBorders>
              <w:top w:val="nil"/>
              <w:left w:val="nil"/>
              <w:bottom w:val="nil"/>
              <w:right w:val="nil"/>
            </w:tcBorders>
            <w:shd w:val="clear" w:color="000000" w:fill="FFFFFF"/>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xml:space="preserve">% FDG-PET/CT </w:t>
            </w:r>
            <w:r w:rsidRPr="003969EA">
              <w:rPr>
                <w:rFonts w:ascii="Calibri" w:eastAsia="Times New Roman" w:hAnsi="Calibri" w:cs="Calibri"/>
                <w:b/>
                <w:bCs/>
                <w:color w:val="000000"/>
              </w:rPr>
              <w:br/>
              <w:t>EORTC</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95% CI</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Cs/>
                <w:color w:val="000000"/>
              </w:rPr>
            </w:pPr>
            <w:r w:rsidRPr="003969EA">
              <w:rPr>
                <w:rFonts w:ascii="Calibri" w:eastAsia="Times New Roman" w:hAnsi="Calibri" w:cs="Calibri"/>
                <w:bCs/>
                <w:color w:val="000000"/>
              </w:rPr>
              <w:t> </w:t>
            </w:r>
          </w:p>
        </w:tc>
        <w:tc>
          <w:tcPr>
            <w:tcW w:w="814" w:type="pct"/>
            <w:tcBorders>
              <w:top w:val="nil"/>
              <w:left w:val="nil"/>
              <w:bottom w:val="nil"/>
              <w:right w:val="nil"/>
            </w:tcBorders>
            <w:shd w:val="clear" w:color="000000" w:fill="FFFFFF"/>
            <w:vAlign w:val="center"/>
            <w:hideMark/>
          </w:tcPr>
          <w:p w:rsidR="00F61680" w:rsidRPr="003969EA" w:rsidRDefault="00F61680" w:rsidP="006652D7">
            <w:pPr>
              <w:spacing w:after="0" w:line="240" w:lineRule="auto"/>
              <w:jc w:val="center"/>
              <w:rPr>
                <w:rFonts w:ascii="Calibri" w:eastAsia="Times New Roman" w:hAnsi="Calibri" w:cs="Calibri"/>
                <w:bCs/>
                <w:color w:val="000000"/>
              </w:rPr>
            </w:pPr>
            <w:r w:rsidRPr="003969EA">
              <w:rPr>
                <w:rFonts w:ascii="Calibri" w:eastAsia="Times New Roman" w:hAnsi="Calibri" w:cs="Calibri"/>
                <w:b/>
                <w:bCs/>
                <w:color w:val="000000"/>
              </w:rPr>
              <w:t xml:space="preserve">% FDG-PET/CT </w:t>
            </w:r>
            <w:r w:rsidRPr="003969EA">
              <w:rPr>
                <w:rFonts w:ascii="Calibri" w:eastAsia="Times New Roman" w:hAnsi="Calibri" w:cs="Calibri"/>
                <w:b/>
                <w:bCs/>
                <w:color w:val="000000"/>
              </w:rPr>
              <w:br/>
            </w:r>
            <w:proofErr w:type="spellStart"/>
            <w:r w:rsidRPr="003969EA">
              <w:rPr>
                <w:rFonts w:ascii="Calibri" w:eastAsia="Times New Roman" w:hAnsi="Calibri" w:cs="Calibri"/>
                <w:b/>
                <w:bCs/>
                <w:color w:val="000000"/>
              </w:rPr>
              <w:t>PeterMac</w:t>
            </w:r>
            <w:proofErr w:type="spellEnd"/>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95% CI</w:t>
            </w:r>
          </w:p>
        </w:tc>
      </w:tr>
      <w:tr w:rsidR="00F61680" w:rsidRPr="003969EA" w:rsidTr="006652D7">
        <w:trPr>
          <w:trHeight w:val="3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Complete pathological response (ypT0N0)</w:t>
            </w:r>
          </w:p>
        </w:tc>
        <w:tc>
          <w:tcPr>
            <w:tcW w:w="76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76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53</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0.29-0.76</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59</w:t>
            </w:r>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0.33-0.81</w:t>
            </w:r>
          </w:p>
        </w:tc>
      </w:tr>
      <w:tr w:rsidR="00F61680" w:rsidRPr="003969EA" w:rsidTr="006652D7">
        <w:trPr>
          <w:trHeight w:val="3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76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75</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0.63-0.85</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77</w:t>
            </w:r>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0.65-0.86</w:t>
            </w:r>
          </w:p>
        </w:tc>
      </w:tr>
      <w:tr w:rsidR="00F61680" w:rsidRPr="003969EA" w:rsidTr="006652D7">
        <w:trPr>
          <w:trHeight w:val="3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Positive Predictive Value</w:t>
            </w:r>
          </w:p>
        </w:tc>
        <w:tc>
          <w:tcPr>
            <w:tcW w:w="76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36</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0.19-0.57</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40</w:t>
            </w:r>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0.22-0.61</w:t>
            </w:r>
          </w:p>
        </w:tc>
      </w:tr>
      <w:tr w:rsidR="00F61680" w:rsidRPr="003969EA" w:rsidTr="006652D7">
        <w:trPr>
          <w:trHeight w:val="3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Negative Predictive Value</w:t>
            </w:r>
          </w:p>
        </w:tc>
        <w:tc>
          <w:tcPr>
            <w:tcW w:w="76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86</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0.74-0.93</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88</w:t>
            </w:r>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0.76-0.95</w:t>
            </w:r>
          </w:p>
        </w:tc>
      </w:tr>
      <w:tr w:rsidR="00F61680" w:rsidRPr="003969EA" w:rsidTr="006652D7">
        <w:trPr>
          <w:trHeight w:val="300"/>
          <w:jc w:val="center"/>
        </w:trPr>
        <w:tc>
          <w:tcPr>
            <w:tcW w:w="1991"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76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71</w:t>
            </w:r>
          </w:p>
        </w:tc>
        <w:tc>
          <w:tcPr>
            <w:tcW w:w="667"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0"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814"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73</w:t>
            </w:r>
          </w:p>
        </w:tc>
        <w:tc>
          <w:tcPr>
            <w:tcW w:w="64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r>
      <w:tr w:rsidR="00F61680" w:rsidRPr="003969EA" w:rsidTr="006652D7">
        <w:trPr>
          <w:trHeight w:val="300"/>
          <w:jc w:val="center"/>
        </w:trPr>
        <w:tc>
          <w:tcPr>
            <w:tcW w:w="1991" w:type="pct"/>
            <w:tcBorders>
              <w:top w:val="nil"/>
              <w:left w:val="nil"/>
              <w:bottom w:val="nil"/>
              <w:right w:val="nil"/>
            </w:tcBorders>
            <w:shd w:val="clear" w:color="000000" w:fill="F2F2F2"/>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Complete pathological downstaging (≤ypT1N0)</w:t>
            </w:r>
          </w:p>
        </w:tc>
        <w:tc>
          <w:tcPr>
            <w:tcW w:w="766" w:type="pct"/>
            <w:tcBorders>
              <w:top w:val="nil"/>
              <w:left w:val="nil"/>
              <w:bottom w:val="nil"/>
              <w:right w:val="nil"/>
            </w:tcBorders>
            <w:shd w:val="clear" w:color="000000" w:fill="F2F2F2"/>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667" w:type="pct"/>
            <w:tcBorders>
              <w:top w:val="nil"/>
              <w:left w:val="nil"/>
              <w:bottom w:val="nil"/>
              <w:right w:val="nil"/>
            </w:tcBorders>
            <w:shd w:val="clear" w:color="000000" w:fill="F2F2F2"/>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120" w:type="pct"/>
            <w:tcBorders>
              <w:top w:val="nil"/>
              <w:left w:val="nil"/>
              <w:bottom w:val="nil"/>
              <w:right w:val="nil"/>
            </w:tcBorders>
            <w:shd w:val="clear" w:color="000000" w:fill="F2F2F2"/>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2F2F2"/>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642" w:type="pct"/>
            <w:tcBorders>
              <w:top w:val="nil"/>
              <w:left w:val="nil"/>
              <w:bottom w:val="nil"/>
              <w:right w:val="nil"/>
            </w:tcBorders>
            <w:shd w:val="clear" w:color="000000" w:fill="F2F2F2"/>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1991"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76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92</w:t>
            </w:r>
          </w:p>
        </w:tc>
        <w:tc>
          <w:tcPr>
            <w:tcW w:w="667"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0.72-0.99</w:t>
            </w:r>
          </w:p>
        </w:tc>
        <w:tc>
          <w:tcPr>
            <w:tcW w:w="120"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96</w:t>
            </w:r>
          </w:p>
        </w:tc>
        <w:tc>
          <w:tcPr>
            <w:tcW w:w="64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0.77-0.998</w:t>
            </w:r>
          </w:p>
        </w:tc>
      </w:tr>
      <w:tr w:rsidR="00F61680" w:rsidRPr="003969EA" w:rsidTr="006652D7">
        <w:trPr>
          <w:trHeight w:val="300"/>
          <w:jc w:val="center"/>
        </w:trPr>
        <w:tc>
          <w:tcPr>
            <w:tcW w:w="1991"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76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34</w:t>
            </w:r>
          </w:p>
        </w:tc>
        <w:tc>
          <w:tcPr>
            <w:tcW w:w="667"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0.23-0.48</w:t>
            </w:r>
          </w:p>
        </w:tc>
        <w:tc>
          <w:tcPr>
            <w:tcW w:w="120"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28</w:t>
            </w:r>
          </w:p>
        </w:tc>
        <w:tc>
          <w:tcPr>
            <w:tcW w:w="64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0.17-0.41</w:t>
            </w:r>
          </w:p>
        </w:tc>
      </w:tr>
      <w:tr w:rsidR="00F61680" w:rsidRPr="003969EA" w:rsidTr="006652D7">
        <w:trPr>
          <w:trHeight w:val="300"/>
          <w:jc w:val="center"/>
        </w:trPr>
        <w:tc>
          <w:tcPr>
            <w:tcW w:w="1991"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Positive Predictive Value</w:t>
            </w:r>
          </w:p>
        </w:tc>
        <w:tc>
          <w:tcPr>
            <w:tcW w:w="76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37</w:t>
            </w:r>
          </w:p>
        </w:tc>
        <w:tc>
          <w:tcPr>
            <w:tcW w:w="667"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0.25-0.50</w:t>
            </w:r>
          </w:p>
        </w:tc>
        <w:tc>
          <w:tcPr>
            <w:tcW w:w="120"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35</w:t>
            </w:r>
          </w:p>
        </w:tc>
        <w:tc>
          <w:tcPr>
            <w:tcW w:w="64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0.24-0.48</w:t>
            </w:r>
          </w:p>
        </w:tc>
      </w:tr>
      <w:tr w:rsidR="00F61680" w:rsidRPr="003969EA" w:rsidTr="006652D7">
        <w:trPr>
          <w:trHeight w:val="300"/>
          <w:jc w:val="center"/>
        </w:trPr>
        <w:tc>
          <w:tcPr>
            <w:tcW w:w="1991"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Negative Predictive Value</w:t>
            </w:r>
          </w:p>
        </w:tc>
        <w:tc>
          <w:tcPr>
            <w:tcW w:w="76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91</w:t>
            </w:r>
          </w:p>
        </w:tc>
        <w:tc>
          <w:tcPr>
            <w:tcW w:w="667"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0.69-0.98</w:t>
            </w:r>
          </w:p>
        </w:tc>
        <w:tc>
          <w:tcPr>
            <w:tcW w:w="120"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94</w:t>
            </w:r>
          </w:p>
        </w:tc>
        <w:tc>
          <w:tcPr>
            <w:tcW w:w="64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0.69-0.997</w:t>
            </w:r>
          </w:p>
        </w:tc>
      </w:tr>
      <w:tr w:rsidR="00F61680" w:rsidRPr="003969EA" w:rsidTr="006652D7">
        <w:trPr>
          <w:trHeight w:val="300"/>
          <w:jc w:val="center"/>
        </w:trPr>
        <w:tc>
          <w:tcPr>
            <w:tcW w:w="1991"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76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51</w:t>
            </w:r>
          </w:p>
        </w:tc>
        <w:tc>
          <w:tcPr>
            <w:tcW w:w="667"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0"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814"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48</w:t>
            </w:r>
          </w:p>
        </w:tc>
        <w:tc>
          <w:tcPr>
            <w:tcW w:w="64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r>
      <w:tr w:rsidR="00F61680" w:rsidRPr="003969EA" w:rsidTr="006652D7">
        <w:trPr>
          <w:trHeight w:val="300"/>
          <w:jc w:val="center"/>
        </w:trPr>
        <w:tc>
          <w:tcPr>
            <w:tcW w:w="1991"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Clinically significant progression (</w:t>
            </w:r>
            <w:proofErr w:type="spellStart"/>
            <w:r w:rsidRPr="003969EA">
              <w:rPr>
                <w:rFonts w:ascii="Calibri" w:eastAsia="Times New Roman" w:hAnsi="Calibri" w:cs="Calibri"/>
                <w:color w:val="000000"/>
              </w:rPr>
              <w:t>ypN</w:t>
            </w:r>
            <w:proofErr w:type="spellEnd"/>
            <w:r w:rsidRPr="003969EA">
              <w:rPr>
                <w:rFonts w:ascii="Calibri" w:eastAsia="Times New Roman" w:hAnsi="Calibri" w:cs="Calibri"/>
                <w:color w:val="000000"/>
              </w:rPr>
              <w:t>+/</w:t>
            </w:r>
            <w:proofErr w:type="spellStart"/>
            <w:r w:rsidRPr="003969EA">
              <w:rPr>
                <w:rFonts w:ascii="Calibri" w:eastAsia="Times New Roman" w:hAnsi="Calibri" w:cs="Calibri"/>
                <w:color w:val="000000"/>
              </w:rPr>
              <w:t>ypM</w:t>
            </w:r>
            <w:proofErr w:type="spellEnd"/>
            <w:r w:rsidRPr="003969EA">
              <w:rPr>
                <w:rFonts w:ascii="Calibri" w:eastAsia="Times New Roman" w:hAnsi="Calibri" w:cs="Calibri"/>
                <w:color w:val="000000"/>
              </w:rPr>
              <w:t>+)</w:t>
            </w:r>
          </w:p>
        </w:tc>
        <w:tc>
          <w:tcPr>
            <w:tcW w:w="766"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67"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0"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42"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1991"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766"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21</w:t>
            </w:r>
          </w:p>
        </w:tc>
        <w:tc>
          <w:tcPr>
            <w:tcW w:w="667"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0.08-0.43</w:t>
            </w:r>
          </w:p>
        </w:tc>
        <w:tc>
          <w:tcPr>
            <w:tcW w:w="120"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21</w:t>
            </w:r>
          </w:p>
        </w:tc>
        <w:tc>
          <w:tcPr>
            <w:tcW w:w="642"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0.08-0.43</w:t>
            </w:r>
          </w:p>
        </w:tc>
      </w:tr>
      <w:tr w:rsidR="00F61680" w:rsidRPr="003969EA" w:rsidTr="006652D7">
        <w:trPr>
          <w:trHeight w:val="300"/>
          <w:jc w:val="center"/>
        </w:trPr>
        <w:tc>
          <w:tcPr>
            <w:tcW w:w="1991"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766"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96</w:t>
            </w:r>
          </w:p>
        </w:tc>
        <w:tc>
          <w:tcPr>
            <w:tcW w:w="667"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0.87-0.99</w:t>
            </w:r>
          </w:p>
        </w:tc>
        <w:tc>
          <w:tcPr>
            <w:tcW w:w="120"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96</w:t>
            </w:r>
          </w:p>
        </w:tc>
        <w:tc>
          <w:tcPr>
            <w:tcW w:w="642"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0.87-0.99</w:t>
            </w:r>
          </w:p>
        </w:tc>
      </w:tr>
      <w:tr w:rsidR="00F61680" w:rsidRPr="003969EA" w:rsidTr="006652D7">
        <w:trPr>
          <w:trHeight w:val="300"/>
          <w:jc w:val="center"/>
        </w:trPr>
        <w:tc>
          <w:tcPr>
            <w:tcW w:w="1991"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Positive Predictive Value</w:t>
            </w:r>
          </w:p>
        </w:tc>
        <w:tc>
          <w:tcPr>
            <w:tcW w:w="766"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71</w:t>
            </w:r>
          </w:p>
        </w:tc>
        <w:tc>
          <w:tcPr>
            <w:tcW w:w="667"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0.30-0.95</w:t>
            </w:r>
          </w:p>
        </w:tc>
        <w:tc>
          <w:tcPr>
            <w:tcW w:w="120"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71</w:t>
            </w:r>
          </w:p>
        </w:tc>
        <w:tc>
          <w:tcPr>
            <w:tcW w:w="642" w:type="pct"/>
            <w:tcBorders>
              <w:top w:val="nil"/>
              <w:left w:val="nil"/>
              <w:bottom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0.30-0.95</w:t>
            </w:r>
          </w:p>
        </w:tc>
      </w:tr>
      <w:tr w:rsidR="00F61680" w:rsidRPr="003969EA" w:rsidTr="006652D7">
        <w:trPr>
          <w:trHeight w:val="300"/>
          <w:jc w:val="center"/>
        </w:trPr>
        <w:tc>
          <w:tcPr>
            <w:tcW w:w="1991" w:type="pct"/>
            <w:tcBorders>
              <w:top w:val="nil"/>
              <w:left w:val="nil"/>
              <w:right w:val="nil"/>
            </w:tcBorders>
            <w:shd w:val="clear" w:color="auto" w:fill="FFFFFF" w:themeFill="background1"/>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Negative Predictive Value</w:t>
            </w:r>
          </w:p>
        </w:tc>
        <w:tc>
          <w:tcPr>
            <w:tcW w:w="766" w:type="pct"/>
            <w:tcBorders>
              <w:top w:val="nil"/>
              <w:left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74</w:t>
            </w:r>
          </w:p>
        </w:tc>
        <w:tc>
          <w:tcPr>
            <w:tcW w:w="667" w:type="pct"/>
            <w:tcBorders>
              <w:top w:val="nil"/>
              <w:left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0.63-0.83</w:t>
            </w:r>
          </w:p>
        </w:tc>
        <w:tc>
          <w:tcPr>
            <w:tcW w:w="120" w:type="pct"/>
            <w:tcBorders>
              <w:top w:val="nil"/>
              <w:left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14" w:type="pct"/>
            <w:tcBorders>
              <w:top w:val="nil"/>
              <w:left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74</w:t>
            </w:r>
          </w:p>
        </w:tc>
        <w:tc>
          <w:tcPr>
            <w:tcW w:w="642" w:type="pct"/>
            <w:tcBorders>
              <w:top w:val="nil"/>
              <w:left w:val="nil"/>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0.63-0.83</w:t>
            </w:r>
          </w:p>
        </w:tc>
      </w:tr>
      <w:tr w:rsidR="00F61680" w:rsidRPr="003969EA" w:rsidTr="006652D7">
        <w:trPr>
          <w:trHeight w:val="300"/>
          <w:jc w:val="center"/>
        </w:trPr>
        <w:tc>
          <w:tcPr>
            <w:tcW w:w="1991" w:type="pct"/>
            <w:tcBorders>
              <w:top w:val="nil"/>
              <w:left w:val="nil"/>
              <w:bottom w:val="single" w:sz="4" w:space="0" w:color="auto"/>
              <w:right w:val="nil"/>
            </w:tcBorders>
            <w:shd w:val="clear" w:color="auto" w:fill="FFFFFF" w:themeFill="background1"/>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766" w:type="pct"/>
            <w:tcBorders>
              <w:top w:val="nil"/>
              <w:left w:val="nil"/>
              <w:bottom w:val="single" w:sz="4" w:space="0" w:color="auto"/>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73</w:t>
            </w:r>
          </w:p>
        </w:tc>
        <w:tc>
          <w:tcPr>
            <w:tcW w:w="667" w:type="pct"/>
            <w:tcBorders>
              <w:top w:val="nil"/>
              <w:left w:val="nil"/>
              <w:bottom w:val="single" w:sz="4" w:space="0" w:color="auto"/>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0" w:type="pct"/>
            <w:tcBorders>
              <w:top w:val="nil"/>
              <w:left w:val="nil"/>
              <w:bottom w:val="single" w:sz="4" w:space="0" w:color="auto"/>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814" w:type="pct"/>
            <w:tcBorders>
              <w:top w:val="nil"/>
              <w:left w:val="nil"/>
              <w:bottom w:val="single" w:sz="4" w:space="0" w:color="auto"/>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73</w:t>
            </w:r>
          </w:p>
        </w:tc>
        <w:tc>
          <w:tcPr>
            <w:tcW w:w="642" w:type="pct"/>
            <w:tcBorders>
              <w:top w:val="nil"/>
              <w:left w:val="nil"/>
              <w:bottom w:val="single" w:sz="4" w:space="0" w:color="auto"/>
              <w:right w:val="nil"/>
            </w:tcBorders>
            <w:shd w:val="clear" w:color="auto" w:fill="FFFFFF" w:themeFill="background1"/>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r>
      <w:tr w:rsidR="00F61680" w:rsidRPr="003969EA" w:rsidTr="006652D7">
        <w:trPr>
          <w:trHeight w:val="300"/>
          <w:jc w:val="center"/>
        </w:trPr>
        <w:tc>
          <w:tcPr>
            <w:tcW w:w="5000" w:type="pct"/>
            <w:gridSpan w:val="6"/>
            <w:tcBorders>
              <w:top w:val="single" w:sz="4" w:space="0" w:color="auto"/>
              <w:left w:val="nil"/>
              <w:bottom w:val="nil"/>
              <w:right w:val="nil"/>
            </w:tcBorders>
            <w:shd w:val="clear" w:color="auto" w:fill="FFFFFF" w:themeFill="background1"/>
            <w:noWrap/>
            <w:vAlign w:val="center"/>
          </w:tcPr>
          <w:p w:rsidR="00F61680" w:rsidRPr="003969EA" w:rsidRDefault="00F61680" w:rsidP="006652D7">
            <w:pPr>
              <w:spacing w:after="0" w:line="240" w:lineRule="auto"/>
              <w:jc w:val="both"/>
              <w:rPr>
                <w:rFonts w:ascii="Calibri" w:eastAsia="Times New Roman" w:hAnsi="Calibri" w:cs="Calibri"/>
                <w:bCs/>
                <w:i/>
                <w:color w:val="000000"/>
                <w:sz w:val="20"/>
              </w:rPr>
            </w:pPr>
            <w:r w:rsidRPr="003969EA">
              <w:rPr>
                <w:rFonts w:ascii="Calibri" w:eastAsia="Times New Roman" w:hAnsi="Calibri" w:cs="Calibri"/>
                <w:bCs/>
                <w:i/>
                <w:color w:val="000000"/>
                <w:sz w:val="20"/>
              </w:rPr>
              <w:t>95% CI = 95% confidence interval; CECT = contrast-enhanced Computed Tomography; EORTC =European Organization for Research</w:t>
            </w:r>
            <w:r w:rsidRPr="003969EA">
              <w:rPr>
                <w:rFonts w:ascii="Calibri" w:eastAsia="Times New Roman" w:hAnsi="Calibri" w:cs="Calibri"/>
                <w:bCs/>
                <w:i/>
                <w:color w:val="000000"/>
                <w:sz w:val="20"/>
              </w:rPr>
              <w:br/>
              <w:t>and Treatment of Cancer; FDG-PET/CT =</w:t>
            </w:r>
            <w:r w:rsidRPr="003969EA">
              <w:t xml:space="preserve"> </w:t>
            </w:r>
            <w:r w:rsidRPr="003969EA">
              <w:rPr>
                <w:rFonts w:ascii="Calibri" w:eastAsia="Times New Roman" w:hAnsi="Calibri" w:cs="Calibri"/>
                <w:bCs/>
                <w:i/>
                <w:color w:val="000000"/>
                <w:sz w:val="20"/>
              </w:rPr>
              <w:t xml:space="preserve">18F-fluorodeoxyglucose Positron Emission Tomography / Computed Tomography; </w:t>
            </w:r>
            <w:r w:rsidRPr="003969EA">
              <w:rPr>
                <w:rFonts w:ascii="Calibri" w:eastAsia="Times New Roman" w:hAnsi="Calibri" w:cs="Calibri"/>
                <w:bCs/>
                <w:i/>
                <w:color w:val="000000"/>
                <w:sz w:val="20"/>
              </w:rPr>
              <w:br/>
            </w:r>
            <w:proofErr w:type="spellStart"/>
            <w:r w:rsidRPr="003969EA">
              <w:rPr>
                <w:rFonts w:ascii="Calibri" w:eastAsia="Times New Roman" w:hAnsi="Calibri" w:cs="Calibri"/>
                <w:bCs/>
                <w:i/>
                <w:color w:val="000000"/>
                <w:sz w:val="20"/>
              </w:rPr>
              <w:t>ypM</w:t>
            </w:r>
            <w:proofErr w:type="spellEnd"/>
            <w:r w:rsidRPr="003969EA">
              <w:rPr>
                <w:rFonts w:ascii="Calibri" w:eastAsia="Times New Roman" w:hAnsi="Calibri" w:cs="Calibri"/>
                <w:bCs/>
                <w:i/>
                <w:color w:val="000000"/>
                <w:sz w:val="20"/>
              </w:rPr>
              <w:t xml:space="preserve"> = distant metastases after </w:t>
            </w:r>
            <w:proofErr w:type="spellStart"/>
            <w:r w:rsidRPr="003969EA">
              <w:rPr>
                <w:rFonts w:ascii="Calibri" w:eastAsia="Times New Roman" w:hAnsi="Calibri" w:cs="Calibri"/>
                <w:bCs/>
                <w:i/>
                <w:color w:val="000000"/>
                <w:sz w:val="20"/>
              </w:rPr>
              <w:t>neoadjuvant</w:t>
            </w:r>
            <w:proofErr w:type="spellEnd"/>
            <w:r w:rsidRPr="003969EA">
              <w:rPr>
                <w:rFonts w:ascii="Calibri" w:eastAsia="Times New Roman" w:hAnsi="Calibri" w:cs="Calibri"/>
                <w:bCs/>
                <w:i/>
                <w:color w:val="000000"/>
                <w:sz w:val="20"/>
              </w:rPr>
              <w:t xml:space="preserve"> treatment; </w:t>
            </w:r>
            <w:proofErr w:type="spellStart"/>
            <w:r w:rsidRPr="003969EA">
              <w:rPr>
                <w:rFonts w:ascii="Calibri" w:eastAsia="Times New Roman" w:hAnsi="Calibri" w:cs="Calibri"/>
                <w:bCs/>
                <w:i/>
                <w:color w:val="000000"/>
                <w:sz w:val="20"/>
              </w:rPr>
              <w:t>ypN</w:t>
            </w:r>
            <w:proofErr w:type="spellEnd"/>
            <w:r w:rsidRPr="003969EA">
              <w:rPr>
                <w:rFonts w:ascii="Calibri" w:eastAsia="Times New Roman" w:hAnsi="Calibri" w:cs="Calibri"/>
                <w:bCs/>
                <w:i/>
                <w:color w:val="000000"/>
                <w:sz w:val="20"/>
              </w:rPr>
              <w:t xml:space="preserve"> = pathological nodal stage after </w:t>
            </w:r>
            <w:proofErr w:type="spellStart"/>
            <w:r w:rsidRPr="003969EA">
              <w:rPr>
                <w:rFonts w:ascii="Calibri" w:eastAsia="Times New Roman" w:hAnsi="Calibri" w:cs="Calibri"/>
                <w:bCs/>
                <w:i/>
                <w:color w:val="000000"/>
                <w:sz w:val="20"/>
              </w:rPr>
              <w:t>neoadjuvant</w:t>
            </w:r>
            <w:proofErr w:type="spellEnd"/>
            <w:r w:rsidRPr="003969EA">
              <w:rPr>
                <w:rFonts w:ascii="Calibri" w:eastAsia="Times New Roman" w:hAnsi="Calibri" w:cs="Calibri"/>
                <w:bCs/>
                <w:i/>
                <w:color w:val="000000"/>
                <w:sz w:val="20"/>
              </w:rPr>
              <w:t xml:space="preserve"> treatment; </w:t>
            </w:r>
            <w:r w:rsidRPr="003969EA">
              <w:rPr>
                <w:rFonts w:ascii="Calibri" w:eastAsia="Times New Roman" w:hAnsi="Calibri" w:cs="Calibri"/>
                <w:bCs/>
                <w:i/>
                <w:color w:val="000000"/>
                <w:sz w:val="20"/>
              </w:rPr>
              <w:br/>
            </w:r>
            <w:proofErr w:type="spellStart"/>
            <w:r w:rsidRPr="003969EA">
              <w:rPr>
                <w:rFonts w:ascii="Calibri" w:eastAsia="Times New Roman" w:hAnsi="Calibri" w:cs="Calibri"/>
                <w:bCs/>
                <w:i/>
                <w:color w:val="000000"/>
                <w:sz w:val="20"/>
              </w:rPr>
              <w:t>ypT</w:t>
            </w:r>
            <w:proofErr w:type="spellEnd"/>
            <w:r w:rsidRPr="003969EA">
              <w:rPr>
                <w:rFonts w:ascii="Calibri" w:eastAsia="Times New Roman" w:hAnsi="Calibri" w:cs="Calibri"/>
                <w:bCs/>
                <w:i/>
                <w:color w:val="000000"/>
                <w:sz w:val="20"/>
              </w:rPr>
              <w:t xml:space="preserve"> = pathological tumor stage after neoadjuvant treatment</w:t>
            </w:r>
          </w:p>
        </w:tc>
      </w:tr>
    </w:tbl>
    <w:p w:rsidR="00F61680" w:rsidRPr="003969EA" w:rsidRDefault="00F61680"/>
    <w:p w:rsidR="00F61680" w:rsidRPr="003969EA" w:rsidRDefault="00F61680"/>
    <w:p w:rsidR="00F61680" w:rsidRPr="003969EA" w:rsidRDefault="00F61680"/>
    <w:p w:rsidR="00F61680" w:rsidRPr="003969EA" w:rsidRDefault="00F61680"/>
    <w:tbl>
      <w:tblPr>
        <w:tblpPr w:leftFromText="180" w:rightFromText="180" w:vertAnchor="text" w:horzAnchor="page" w:tblpXSpec="center" w:tblpY="-168"/>
        <w:tblW w:w="6134" w:type="pct"/>
        <w:jc w:val="center"/>
        <w:tblLayout w:type="fixed"/>
        <w:tblLook w:val="04A0" w:firstRow="1" w:lastRow="0" w:firstColumn="1" w:lastColumn="0" w:noHBand="0" w:noVBand="1"/>
      </w:tblPr>
      <w:tblGrid>
        <w:gridCol w:w="3401"/>
        <w:gridCol w:w="2129"/>
        <w:gridCol w:w="1277"/>
        <w:gridCol w:w="282"/>
        <w:gridCol w:w="1417"/>
        <w:gridCol w:w="1987"/>
        <w:gridCol w:w="990"/>
      </w:tblGrid>
      <w:tr w:rsidR="004D4C05" w:rsidRPr="003969EA" w:rsidTr="004D4C05">
        <w:trPr>
          <w:trHeight w:val="765"/>
          <w:jc w:val="center"/>
        </w:trPr>
        <w:tc>
          <w:tcPr>
            <w:tcW w:w="5000" w:type="pct"/>
            <w:gridSpan w:val="7"/>
            <w:tcBorders>
              <w:top w:val="nil"/>
              <w:left w:val="nil"/>
              <w:bottom w:val="single" w:sz="4" w:space="0" w:color="auto"/>
              <w:right w:val="nil"/>
            </w:tcBorders>
            <w:shd w:val="clear" w:color="000000" w:fill="FFFFFF"/>
            <w:vAlign w:val="center"/>
            <w:hideMark/>
          </w:tcPr>
          <w:p w:rsidR="004D4C05" w:rsidRPr="003969EA" w:rsidRDefault="004D4C05" w:rsidP="004D4C05">
            <w:pPr>
              <w:spacing w:after="0" w:line="240" w:lineRule="auto"/>
              <w:rPr>
                <w:rFonts w:ascii="Calibri" w:eastAsia="Times New Roman" w:hAnsi="Calibri" w:cs="Calibri"/>
                <w:b/>
                <w:bCs/>
              </w:rPr>
            </w:pPr>
            <w:r w:rsidRPr="003969EA">
              <w:rPr>
                <w:rFonts w:ascii="Calibri" w:eastAsia="Times New Roman" w:hAnsi="Calibri" w:cs="Calibri"/>
                <w:b/>
                <w:bCs/>
              </w:rPr>
              <w:lastRenderedPageBreak/>
              <w:t xml:space="preserve">Suppl. Table 2. Separate assessment of response to neoadjuvant/induction chemotherapy in the lymph nodes. </w:t>
            </w:r>
            <w:r w:rsidRPr="003969EA">
              <w:rPr>
                <w:rFonts w:ascii="Calibri" w:eastAsia="Times New Roman" w:hAnsi="Calibri" w:cs="Calibri"/>
                <w:b/>
                <w:bCs/>
              </w:rPr>
              <w:br/>
            </w:r>
            <w:r w:rsidRPr="003969EA">
              <w:rPr>
                <w:rFonts w:ascii="Calibri" w:eastAsia="Times New Roman" w:hAnsi="Calibri" w:cs="Calibri"/>
              </w:rPr>
              <w:t xml:space="preserve">FDG-PET/CT was not more accurate than CECT for prediction of complete response in the lymph nodes. </w:t>
            </w:r>
          </w:p>
        </w:tc>
      </w:tr>
      <w:tr w:rsidR="004D4C05" w:rsidRPr="003969EA" w:rsidTr="004D4C05">
        <w:trPr>
          <w:trHeight w:val="600"/>
          <w:jc w:val="center"/>
        </w:trPr>
        <w:tc>
          <w:tcPr>
            <w:tcW w:w="148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rPr>
                <w:rFonts w:ascii="Calibri" w:eastAsia="Times New Roman" w:hAnsi="Calibri" w:cs="Calibri"/>
                <w:b/>
                <w:bCs/>
                <w:color w:val="000000"/>
              </w:rPr>
            </w:pPr>
          </w:p>
        </w:tc>
        <w:tc>
          <w:tcPr>
            <w:tcW w:w="927" w:type="pct"/>
            <w:tcBorders>
              <w:top w:val="nil"/>
              <w:left w:val="nil"/>
              <w:bottom w:val="nil"/>
              <w:right w:val="nil"/>
            </w:tcBorders>
            <w:shd w:val="clear" w:color="000000" w:fill="FFFFFF"/>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xml:space="preserve">% FDG-PET/CT </w:t>
            </w:r>
            <w:r w:rsidRPr="003969EA">
              <w:rPr>
                <w:rFonts w:ascii="Calibri" w:eastAsia="Times New Roman" w:hAnsi="Calibri" w:cs="Calibri"/>
                <w:b/>
                <w:bCs/>
                <w:color w:val="000000"/>
              </w:rPr>
              <w:br/>
            </w:r>
            <w:proofErr w:type="spellStart"/>
            <w:r w:rsidRPr="003969EA">
              <w:rPr>
                <w:rFonts w:ascii="Calibri" w:eastAsia="Times New Roman" w:hAnsi="Calibri" w:cs="Calibri"/>
                <w:b/>
                <w:bCs/>
                <w:i/>
                <w:iCs/>
                <w:color w:val="000000"/>
              </w:rPr>
              <w:t>PeterMac</w:t>
            </w:r>
            <w:proofErr w:type="spellEnd"/>
          </w:p>
        </w:tc>
        <w:tc>
          <w:tcPr>
            <w:tcW w:w="556"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95% CI</w:t>
            </w:r>
          </w:p>
        </w:tc>
        <w:tc>
          <w:tcPr>
            <w:tcW w:w="123"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617" w:type="pct"/>
            <w:tcBorders>
              <w:top w:val="nil"/>
              <w:left w:val="nil"/>
              <w:bottom w:val="nil"/>
              <w:right w:val="nil"/>
            </w:tcBorders>
            <w:shd w:val="clear" w:color="000000" w:fill="FFFFFF"/>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CECT</w:t>
            </w:r>
            <w:r w:rsidRPr="003969EA">
              <w:rPr>
                <w:rFonts w:ascii="Calibri" w:eastAsia="Times New Roman" w:hAnsi="Calibri" w:cs="Calibri"/>
                <w:b/>
                <w:bCs/>
                <w:color w:val="000000"/>
              </w:rPr>
              <w:br/>
            </w:r>
            <w:r w:rsidRPr="003969EA">
              <w:rPr>
                <w:rFonts w:ascii="Calibri" w:eastAsia="Times New Roman" w:hAnsi="Calibri" w:cs="Calibri"/>
                <w:b/>
                <w:bCs/>
                <w:i/>
                <w:iCs/>
                <w:color w:val="000000"/>
              </w:rPr>
              <w:t>RECIST1.1</w:t>
            </w:r>
          </w:p>
        </w:tc>
        <w:tc>
          <w:tcPr>
            <w:tcW w:w="865"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95% CI</w:t>
            </w:r>
          </w:p>
        </w:tc>
        <w:tc>
          <w:tcPr>
            <w:tcW w:w="431" w:type="pct"/>
            <w:tcBorders>
              <w:top w:val="nil"/>
              <w:left w:val="nil"/>
              <w:bottom w:val="nil"/>
              <w:right w:val="nil"/>
            </w:tcBorders>
            <w:shd w:val="clear" w:color="000000" w:fill="FFFFFF"/>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p-value</w:t>
            </w:r>
          </w:p>
        </w:tc>
      </w:tr>
      <w:tr w:rsidR="004D4C05" w:rsidRPr="003969EA" w:rsidTr="004D4C05">
        <w:trPr>
          <w:trHeight w:val="300"/>
          <w:jc w:val="center"/>
        </w:trPr>
        <w:tc>
          <w:tcPr>
            <w:tcW w:w="148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rPr>
                <w:rFonts w:ascii="Calibri" w:eastAsia="Times New Roman" w:hAnsi="Calibri" w:cs="Calibri"/>
                <w:color w:val="000000"/>
              </w:rPr>
            </w:pPr>
            <w:r w:rsidRPr="003969EA">
              <w:rPr>
                <w:rFonts w:ascii="Calibri" w:eastAsia="Times New Roman" w:hAnsi="Calibri" w:cs="Calibri"/>
                <w:color w:val="000000"/>
              </w:rPr>
              <w:t>Complete response (ypN0)</w:t>
            </w:r>
          </w:p>
        </w:tc>
        <w:tc>
          <w:tcPr>
            <w:tcW w:w="92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56"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3"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1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865"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43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4D4C05" w:rsidRPr="003969EA" w:rsidTr="004D4C05">
        <w:trPr>
          <w:trHeight w:val="300"/>
          <w:jc w:val="center"/>
        </w:trPr>
        <w:tc>
          <w:tcPr>
            <w:tcW w:w="148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92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69</w:t>
            </w:r>
          </w:p>
        </w:tc>
        <w:tc>
          <w:tcPr>
            <w:tcW w:w="556"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0.39-0.90</w:t>
            </w:r>
          </w:p>
        </w:tc>
        <w:tc>
          <w:tcPr>
            <w:tcW w:w="123"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1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rPr>
            </w:pPr>
            <w:r w:rsidRPr="003969EA">
              <w:rPr>
                <w:rFonts w:ascii="Calibri" w:eastAsia="Times New Roman" w:hAnsi="Calibri" w:cs="Calibri"/>
              </w:rPr>
              <w:t>78</w:t>
            </w:r>
          </w:p>
        </w:tc>
        <w:tc>
          <w:tcPr>
            <w:tcW w:w="865"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0.40-0.96</w:t>
            </w:r>
          </w:p>
        </w:tc>
        <w:tc>
          <w:tcPr>
            <w:tcW w:w="43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w:t>
            </w:r>
          </w:p>
        </w:tc>
      </w:tr>
      <w:tr w:rsidR="004D4C05" w:rsidRPr="003969EA" w:rsidTr="004D4C05">
        <w:trPr>
          <w:trHeight w:val="300"/>
          <w:jc w:val="center"/>
        </w:trPr>
        <w:tc>
          <w:tcPr>
            <w:tcW w:w="148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92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61</w:t>
            </w:r>
          </w:p>
        </w:tc>
        <w:tc>
          <w:tcPr>
            <w:tcW w:w="556"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0.38-0.80</w:t>
            </w:r>
          </w:p>
        </w:tc>
        <w:tc>
          <w:tcPr>
            <w:tcW w:w="123"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1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33</w:t>
            </w:r>
          </w:p>
        </w:tc>
        <w:tc>
          <w:tcPr>
            <w:tcW w:w="865"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0.09-0.69</w:t>
            </w:r>
          </w:p>
        </w:tc>
        <w:tc>
          <w:tcPr>
            <w:tcW w:w="43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0.5</w:t>
            </w:r>
          </w:p>
        </w:tc>
      </w:tr>
      <w:tr w:rsidR="004D4C05" w:rsidRPr="003969EA" w:rsidTr="004D4C05">
        <w:trPr>
          <w:trHeight w:val="300"/>
          <w:jc w:val="center"/>
        </w:trPr>
        <w:tc>
          <w:tcPr>
            <w:tcW w:w="148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PPV</w:t>
            </w:r>
          </w:p>
        </w:tc>
        <w:tc>
          <w:tcPr>
            <w:tcW w:w="92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50</w:t>
            </w:r>
          </w:p>
        </w:tc>
        <w:tc>
          <w:tcPr>
            <w:tcW w:w="556"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0.27-0.73</w:t>
            </w:r>
          </w:p>
        </w:tc>
        <w:tc>
          <w:tcPr>
            <w:tcW w:w="123"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1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54</w:t>
            </w:r>
          </w:p>
        </w:tc>
        <w:tc>
          <w:tcPr>
            <w:tcW w:w="865"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0.26-0.80</w:t>
            </w:r>
          </w:p>
        </w:tc>
        <w:tc>
          <w:tcPr>
            <w:tcW w:w="43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w:t>
            </w:r>
          </w:p>
        </w:tc>
      </w:tr>
      <w:tr w:rsidR="004D4C05" w:rsidRPr="003969EA" w:rsidTr="004D4C05">
        <w:trPr>
          <w:trHeight w:val="300"/>
          <w:jc w:val="center"/>
        </w:trPr>
        <w:tc>
          <w:tcPr>
            <w:tcW w:w="148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NPV</w:t>
            </w:r>
          </w:p>
        </w:tc>
        <w:tc>
          <w:tcPr>
            <w:tcW w:w="92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78</w:t>
            </w:r>
          </w:p>
        </w:tc>
        <w:tc>
          <w:tcPr>
            <w:tcW w:w="556"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0.52-0.93</w:t>
            </w:r>
          </w:p>
        </w:tc>
        <w:tc>
          <w:tcPr>
            <w:tcW w:w="123"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617"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60</w:t>
            </w:r>
          </w:p>
        </w:tc>
        <w:tc>
          <w:tcPr>
            <w:tcW w:w="865"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0.17-0.93</w:t>
            </w:r>
          </w:p>
        </w:tc>
        <w:tc>
          <w:tcPr>
            <w:tcW w:w="431" w:type="pct"/>
            <w:tcBorders>
              <w:top w:val="nil"/>
              <w:left w:val="nil"/>
              <w:bottom w:val="nil"/>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proofErr w:type="spellStart"/>
            <w:r w:rsidRPr="003969EA">
              <w:rPr>
                <w:rFonts w:ascii="Calibri" w:eastAsia="Times New Roman" w:hAnsi="Calibri" w:cs="Calibri"/>
                <w:color w:val="000000"/>
              </w:rPr>
              <w:t>n.e.</w:t>
            </w:r>
            <w:proofErr w:type="spellEnd"/>
          </w:p>
        </w:tc>
      </w:tr>
      <w:tr w:rsidR="004D4C05" w:rsidRPr="003969EA" w:rsidTr="004D4C05">
        <w:trPr>
          <w:trHeight w:val="300"/>
          <w:jc w:val="center"/>
        </w:trPr>
        <w:tc>
          <w:tcPr>
            <w:tcW w:w="1481"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927"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64</w:t>
            </w:r>
          </w:p>
        </w:tc>
        <w:tc>
          <w:tcPr>
            <w:tcW w:w="556"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3"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617"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56</w:t>
            </w:r>
          </w:p>
        </w:tc>
        <w:tc>
          <w:tcPr>
            <w:tcW w:w="865"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431" w:type="pct"/>
            <w:tcBorders>
              <w:top w:val="nil"/>
              <w:left w:val="nil"/>
              <w:bottom w:val="single" w:sz="4" w:space="0" w:color="auto"/>
              <w:right w:val="nil"/>
            </w:tcBorders>
            <w:shd w:val="clear" w:color="000000" w:fill="FFFFFF"/>
            <w:noWrap/>
            <w:vAlign w:val="center"/>
            <w:hideMark/>
          </w:tcPr>
          <w:p w:rsidR="004D4C05" w:rsidRPr="003969EA" w:rsidRDefault="004D4C05" w:rsidP="004D4C05">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w:t>
            </w:r>
          </w:p>
        </w:tc>
      </w:tr>
      <w:tr w:rsidR="004D4C05" w:rsidRPr="003969EA" w:rsidTr="004D4C05">
        <w:trPr>
          <w:trHeight w:val="1575"/>
          <w:jc w:val="center"/>
        </w:trPr>
        <w:tc>
          <w:tcPr>
            <w:tcW w:w="5000" w:type="pct"/>
            <w:gridSpan w:val="7"/>
            <w:tcBorders>
              <w:top w:val="nil"/>
              <w:left w:val="nil"/>
              <w:bottom w:val="nil"/>
              <w:right w:val="nil"/>
            </w:tcBorders>
            <w:shd w:val="clear" w:color="000000" w:fill="FFFFFF"/>
            <w:vAlign w:val="center"/>
            <w:hideMark/>
          </w:tcPr>
          <w:p w:rsidR="004D4C05" w:rsidRPr="003969EA" w:rsidRDefault="004D4C05" w:rsidP="004D4C05">
            <w:pPr>
              <w:spacing w:after="0" w:line="240" w:lineRule="auto"/>
              <w:rPr>
                <w:rFonts w:ascii="Calibri" w:eastAsia="Times New Roman" w:hAnsi="Calibri" w:cs="Calibri"/>
                <w:i/>
                <w:iCs/>
                <w:color w:val="000000"/>
                <w:sz w:val="20"/>
                <w:szCs w:val="20"/>
              </w:rPr>
            </w:pPr>
            <w:r w:rsidRPr="003969EA">
              <w:rPr>
                <w:rFonts w:ascii="Calibri" w:eastAsia="Times New Roman" w:hAnsi="Calibri" w:cs="Calibri"/>
                <w:i/>
                <w:iCs/>
                <w:color w:val="000000"/>
                <w:sz w:val="20"/>
                <w:szCs w:val="20"/>
              </w:rPr>
              <w:t>95% CI = 95% confidence interval; CECT = contrast-enhanced Computed Tomography; EORTC = European Organization for Research and Treatment of Cancer; FDG-PET/CT = (18)F-</w:t>
            </w:r>
            <w:proofErr w:type="spellStart"/>
            <w:r w:rsidRPr="003969EA">
              <w:rPr>
                <w:rFonts w:ascii="Calibri" w:eastAsia="Times New Roman" w:hAnsi="Calibri" w:cs="Calibri"/>
                <w:i/>
                <w:iCs/>
                <w:color w:val="000000"/>
                <w:sz w:val="20"/>
                <w:szCs w:val="20"/>
              </w:rPr>
              <w:t>fluorodeoxyglucose</w:t>
            </w:r>
            <w:proofErr w:type="spellEnd"/>
            <w:r w:rsidRPr="003969EA">
              <w:rPr>
                <w:rFonts w:ascii="Calibri" w:eastAsia="Times New Roman" w:hAnsi="Calibri" w:cs="Calibri"/>
                <w:i/>
                <w:iCs/>
                <w:color w:val="000000"/>
                <w:sz w:val="20"/>
                <w:szCs w:val="20"/>
              </w:rPr>
              <w:t xml:space="preserve"> Positron Emission Tomography / Computed Tomography; </w:t>
            </w:r>
            <w:proofErr w:type="spellStart"/>
            <w:r w:rsidRPr="003969EA">
              <w:rPr>
                <w:rFonts w:ascii="Calibri" w:eastAsia="Times New Roman" w:hAnsi="Calibri" w:cs="Calibri"/>
                <w:i/>
                <w:iCs/>
                <w:color w:val="000000"/>
                <w:sz w:val="20"/>
                <w:szCs w:val="20"/>
              </w:rPr>
              <w:t>n.e.</w:t>
            </w:r>
            <w:proofErr w:type="spellEnd"/>
            <w:r w:rsidRPr="003969EA">
              <w:rPr>
                <w:rFonts w:ascii="Calibri" w:eastAsia="Times New Roman" w:hAnsi="Calibri" w:cs="Calibri"/>
                <w:i/>
                <w:iCs/>
                <w:color w:val="000000"/>
                <w:sz w:val="20"/>
                <w:szCs w:val="20"/>
              </w:rPr>
              <w:t xml:space="preserve"> = not evaluable; RECIST = Response Evaluation Criteria in Solid </w:t>
            </w:r>
            <w:proofErr w:type="spellStart"/>
            <w:r w:rsidRPr="003969EA">
              <w:rPr>
                <w:rFonts w:ascii="Calibri" w:eastAsia="Times New Roman" w:hAnsi="Calibri" w:cs="Calibri"/>
                <w:i/>
                <w:iCs/>
                <w:color w:val="000000"/>
                <w:sz w:val="20"/>
                <w:szCs w:val="20"/>
              </w:rPr>
              <w:t>Tumours</w:t>
            </w:r>
            <w:proofErr w:type="spellEnd"/>
            <w:r w:rsidRPr="003969EA">
              <w:rPr>
                <w:rFonts w:ascii="Calibri" w:eastAsia="Times New Roman" w:hAnsi="Calibri" w:cs="Calibri"/>
                <w:i/>
                <w:iCs/>
                <w:color w:val="000000"/>
                <w:sz w:val="20"/>
                <w:szCs w:val="20"/>
              </w:rPr>
              <w:t xml:space="preserve">; </w:t>
            </w:r>
            <w:proofErr w:type="spellStart"/>
            <w:r w:rsidRPr="003969EA">
              <w:rPr>
                <w:rFonts w:ascii="Calibri" w:eastAsia="Times New Roman" w:hAnsi="Calibri" w:cs="Calibri"/>
                <w:i/>
                <w:iCs/>
                <w:color w:val="000000"/>
                <w:sz w:val="20"/>
                <w:szCs w:val="20"/>
              </w:rPr>
              <w:t>ypM</w:t>
            </w:r>
            <w:proofErr w:type="spellEnd"/>
            <w:r w:rsidRPr="003969EA">
              <w:rPr>
                <w:rFonts w:ascii="Calibri" w:eastAsia="Times New Roman" w:hAnsi="Calibri" w:cs="Calibri"/>
                <w:i/>
                <w:iCs/>
                <w:color w:val="000000"/>
                <w:sz w:val="20"/>
                <w:szCs w:val="20"/>
              </w:rPr>
              <w:t xml:space="preserve"> = distant metastases after </w:t>
            </w:r>
            <w:proofErr w:type="spellStart"/>
            <w:r w:rsidRPr="003969EA">
              <w:rPr>
                <w:rFonts w:ascii="Calibri" w:eastAsia="Times New Roman" w:hAnsi="Calibri" w:cs="Calibri"/>
                <w:i/>
                <w:iCs/>
                <w:color w:val="000000"/>
                <w:sz w:val="20"/>
                <w:szCs w:val="20"/>
              </w:rPr>
              <w:t>neoadjuvant</w:t>
            </w:r>
            <w:proofErr w:type="spellEnd"/>
            <w:r w:rsidRPr="003969EA">
              <w:rPr>
                <w:rFonts w:ascii="Calibri" w:eastAsia="Times New Roman" w:hAnsi="Calibri" w:cs="Calibri"/>
                <w:i/>
                <w:iCs/>
                <w:color w:val="000000"/>
                <w:sz w:val="20"/>
                <w:szCs w:val="20"/>
              </w:rPr>
              <w:t xml:space="preserve"> treatment; </w:t>
            </w:r>
            <w:proofErr w:type="spellStart"/>
            <w:r w:rsidRPr="003969EA">
              <w:rPr>
                <w:rFonts w:ascii="Calibri" w:eastAsia="Times New Roman" w:hAnsi="Calibri" w:cs="Calibri"/>
                <w:i/>
                <w:iCs/>
                <w:color w:val="000000"/>
                <w:sz w:val="20"/>
                <w:szCs w:val="20"/>
              </w:rPr>
              <w:t>ypN</w:t>
            </w:r>
            <w:proofErr w:type="spellEnd"/>
            <w:r w:rsidRPr="003969EA">
              <w:rPr>
                <w:rFonts w:ascii="Calibri" w:eastAsia="Times New Roman" w:hAnsi="Calibri" w:cs="Calibri"/>
                <w:i/>
                <w:iCs/>
                <w:color w:val="000000"/>
                <w:sz w:val="20"/>
                <w:szCs w:val="20"/>
              </w:rPr>
              <w:t xml:space="preserve"> = pathological nodal stage after </w:t>
            </w:r>
            <w:proofErr w:type="spellStart"/>
            <w:r w:rsidRPr="003969EA">
              <w:rPr>
                <w:rFonts w:ascii="Calibri" w:eastAsia="Times New Roman" w:hAnsi="Calibri" w:cs="Calibri"/>
                <w:i/>
                <w:iCs/>
                <w:color w:val="000000"/>
                <w:sz w:val="20"/>
                <w:szCs w:val="20"/>
              </w:rPr>
              <w:t>neoadjuvant</w:t>
            </w:r>
            <w:proofErr w:type="spellEnd"/>
            <w:r w:rsidRPr="003969EA">
              <w:rPr>
                <w:rFonts w:ascii="Calibri" w:eastAsia="Times New Roman" w:hAnsi="Calibri" w:cs="Calibri"/>
                <w:i/>
                <w:iCs/>
                <w:color w:val="000000"/>
                <w:sz w:val="20"/>
                <w:szCs w:val="20"/>
              </w:rPr>
              <w:t xml:space="preserve"> treatment; </w:t>
            </w:r>
            <w:proofErr w:type="spellStart"/>
            <w:r w:rsidRPr="003969EA">
              <w:rPr>
                <w:rFonts w:ascii="Calibri" w:eastAsia="Times New Roman" w:hAnsi="Calibri" w:cs="Calibri"/>
                <w:i/>
                <w:iCs/>
                <w:color w:val="000000"/>
                <w:sz w:val="20"/>
                <w:szCs w:val="20"/>
              </w:rPr>
              <w:t>ypT</w:t>
            </w:r>
            <w:proofErr w:type="spellEnd"/>
            <w:r w:rsidRPr="003969EA">
              <w:rPr>
                <w:rFonts w:ascii="Calibri" w:eastAsia="Times New Roman" w:hAnsi="Calibri" w:cs="Calibri"/>
                <w:i/>
                <w:iCs/>
                <w:color w:val="000000"/>
                <w:sz w:val="20"/>
                <w:szCs w:val="20"/>
              </w:rPr>
              <w:t xml:space="preserve"> = pathological tumor stage after neoadjuvant treatment</w:t>
            </w:r>
          </w:p>
        </w:tc>
      </w:tr>
    </w:tbl>
    <w:p w:rsidR="00F61680" w:rsidRPr="003969EA" w:rsidRDefault="00F61680"/>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p w:rsidR="004D4C05" w:rsidRPr="003969EA" w:rsidRDefault="004D4C05"/>
    <w:tbl>
      <w:tblPr>
        <w:tblW w:w="6016" w:type="pct"/>
        <w:jc w:val="center"/>
        <w:tblLook w:val="04A0" w:firstRow="1" w:lastRow="0" w:firstColumn="1" w:lastColumn="0" w:noHBand="0" w:noVBand="1"/>
      </w:tblPr>
      <w:tblGrid>
        <w:gridCol w:w="4541"/>
        <w:gridCol w:w="2293"/>
        <w:gridCol w:w="1207"/>
        <w:gridCol w:w="275"/>
        <w:gridCol w:w="1153"/>
        <w:gridCol w:w="1793"/>
      </w:tblGrid>
      <w:tr w:rsidR="00F61680" w:rsidRPr="003969EA" w:rsidTr="006652D7">
        <w:trPr>
          <w:trHeight w:val="1260"/>
          <w:jc w:val="center"/>
        </w:trPr>
        <w:tc>
          <w:tcPr>
            <w:tcW w:w="5000" w:type="pct"/>
            <w:gridSpan w:val="6"/>
            <w:tcBorders>
              <w:top w:val="nil"/>
              <w:left w:val="nil"/>
              <w:bottom w:val="single" w:sz="4" w:space="0" w:color="auto"/>
              <w:right w:val="nil"/>
            </w:tcBorders>
            <w:shd w:val="clear" w:color="000000" w:fill="FFFFFF"/>
            <w:vAlign w:val="center"/>
            <w:hideMark/>
          </w:tcPr>
          <w:p w:rsidR="00F61680" w:rsidRPr="003969EA" w:rsidRDefault="00F61680" w:rsidP="006652D7">
            <w:pPr>
              <w:rPr>
                <w:rFonts w:ascii="Calibri" w:eastAsia="Times New Roman" w:hAnsi="Calibri" w:cs="Calibri"/>
                <w:b/>
                <w:bCs/>
                <w:color w:val="000000"/>
              </w:rPr>
            </w:pPr>
            <w:r w:rsidRPr="003969EA">
              <w:rPr>
                <w:rFonts w:ascii="Calibri" w:eastAsia="Times New Roman" w:hAnsi="Calibri" w:cs="Calibri"/>
                <w:b/>
                <w:bCs/>
                <w:color w:val="000000"/>
              </w:rPr>
              <w:lastRenderedPageBreak/>
              <w:t>Suppl. Table 3. FDG-PET/CT and CECT diagnostic accuracy for identifying response as well as progression in patients treated with induction chemotherapy (TanyN+M0-1a)</w:t>
            </w:r>
            <w:r w:rsidRPr="003969EA">
              <w:rPr>
                <w:rFonts w:ascii="Calibri" w:eastAsia="Times New Roman" w:hAnsi="Calibri" w:cs="Calibri"/>
                <w:color w:val="000000"/>
              </w:rPr>
              <w:t>. FDG-PET/CT was not more accurate than CECT for prediction of response in the induction setting. Importantly, low sensitivity for progression indicates progression in lymph nodes was often missed by both imaging modalities.</w:t>
            </w:r>
          </w:p>
        </w:tc>
      </w:tr>
      <w:tr w:rsidR="00F61680" w:rsidRPr="003969EA" w:rsidTr="006652D7">
        <w:trPr>
          <w:trHeight w:val="6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rPr>
                <w:rFonts w:ascii="Calibri" w:eastAsia="Times New Roman" w:hAnsi="Calibri" w:cs="Calibri"/>
                <w:b/>
                <w:bCs/>
                <w:color w:val="000000"/>
              </w:rPr>
            </w:pPr>
            <w:r w:rsidRPr="003969EA">
              <w:rPr>
                <w:rFonts w:ascii="Calibri" w:eastAsia="Times New Roman" w:hAnsi="Calibri" w:cs="Calibri"/>
                <w:b/>
                <w:bCs/>
                <w:color w:val="000000"/>
              </w:rPr>
              <w:t>Overall</w:t>
            </w:r>
          </w:p>
        </w:tc>
        <w:tc>
          <w:tcPr>
            <w:tcW w:w="1018" w:type="pct"/>
            <w:tcBorders>
              <w:top w:val="nil"/>
              <w:left w:val="nil"/>
              <w:bottom w:val="nil"/>
              <w:right w:val="nil"/>
            </w:tcBorders>
            <w:shd w:val="clear" w:color="000000" w:fill="FFFFFF"/>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xml:space="preserve">FDG-PET/CT (%) </w:t>
            </w:r>
            <w:r w:rsidRPr="003969EA">
              <w:rPr>
                <w:rFonts w:ascii="Calibri" w:eastAsia="Times New Roman" w:hAnsi="Calibri" w:cs="Calibri"/>
                <w:b/>
                <w:bCs/>
                <w:color w:val="000000"/>
              </w:rPr>
              <w:br/>
            </w:r>
            <w:proofErr w:type="spellStart"/>
            <w:r w:rsidRPr="003969EA">
              <w:rPr>
                <w:rFonts w:ascii="Calibri" w:eastAsia="Times New Roman" w:hAnsi="Calibri" w:cs="Calibri"/>
                <w:b/>
                <w:bCs/>
                <w:color w:val="000000"/>
              </w:rPr>
              <w:t>PeterMac</w:t>
            </w:r>
            <w:proofErr w:type="spellEnd"/>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95% CI</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CECT (%)</w:t>
            </w:r>
            <w:r w:rsidRPr="003969EA">
              <w:rPr>
                <w:rFonts w:ascii="Calibri" w:eastAsia="Times New Roman" w:hAnsi="Calibri" w:cs="Calibri"/>
                <w:b/>
                <w:bCs/>
                <w:color w:val="000000"/>
              </w:rPr>
              <w:br/>
              <w:t>RECIST1.1</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95% CI</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Complete pathological response (ypT0N0)</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80</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0,30-0,99</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rPr>
            </w:pPr>
            <w:r w:rsidRPr="003969EA">
              <w:rPr>
                <w:rFonts w:ascii="Calibri" w:eastAsia="Times New Roman" w:hAnsi="Calibri" w:cs="Calibri"/>
              </w:rPr>
              <w:t>25</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0,01-0,78</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82</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0,65-0,93</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0,83-1</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PPV</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40</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0,14-0,73</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0,05-1</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NPV</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97</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0,80-0,998</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89</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0,70-0,97</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85</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76</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Complete pathological downstaging (≤ypT1N0)</w:t>
            </w:r>
          </w:p>
        </w:tc>
        <w:tc>
          <w:tcPr>
            <w:tcW w:w="1018" w:type="pct"/>
            <w:tcBorders>
              <w:top w:val="nil"/>
              <w:left w:val="nil"/>
              <w:bottom w:val="nil"/>
              <w:right w:val="nil"/>
            </w:tcBorders>
            <w:shd w:val="clear" w:color="000000" w:fill="FFFFFF"/>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536" w:type="pct"/>
            <w:tcBorders>
              <w:top w:val="nil"/>
              <w:left w:val="nil"/>
              <w:bottom w:val="nil"/>
              <w:right w:val="nil"/>
            </w:tcBorders>
            <w:shd w:val="clear" w:color="000000" w:fill="FFFFFF"/>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122" w:type="pct"/>
            <w:tcBorders>
              <w:top w:val="nil"/>
              <w:left w:val="nil"/>
              <w:bottom w:val="nil"/>
              <w:right w:val="nil"/>
            </w:tcBorders>
            <w:shd w:val="clear" w:color="000000" w:fill="FFFFFF"/>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c>
          <w:tcPr>
            <w:tcW w:w="796" w:type="pct"/>
            <w:tcBorders>
              <w:top w:val="nil"/>
              <w:left w:val="nil"/>
              <w:bottom w:val="nil"/>
              <w:right w:val="nil"/>
            </w:tcBorders>
            <w:shd w:val="clear" w:color="000000" w:fill="FFFFFF"/>
            <w:noWrap/>
            <w:vAlign w:val="bottom"/>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0,63-1</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89</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0,51-0,99</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27</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0,13-0,46</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33</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0,18-0,53</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PPV</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29</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0,15-0,48</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29</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0,14-0,49</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NPV</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0,60-1</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91</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0,57-0,995</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46</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66</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Response (</w:t>
            </w:r>
            <w:proofErr w:type="spellStart"/>
            <w:r w:rsidRPr="003969EA">
              <w:rPr>
                <w:rFonts w:ascii="Calibri" w:eastAsia="Times New Roman" w:hAnsi="Calibri" w:cs="Calibri"/>
                <w:color w:val="000000"/>
              </w:rPr>
              <w:t>ypTN</w:t>
            </w:r>
            <w:proofErr w:type="spellEnd"/>
            <w:r w:rsidRPr="003969EA">
              <w:rPr>
                <w:rFonts w:ascii="Calibri" w:eastAsia="Times New Roman" w:hAnsi="Calibri" w:cs="Calibri"/>
                <w:color w:val="000000"/>
              </w:rPr>
              <w:t xml:space="preserve"> &lt; </w:t>
            </w:r>
            <w:proofErr w:type="spellStart"/>
            <w:r w:rsidRPr="003969EA">
              <w:rPr>
                <w:rFonts w:ascii="Calibri" w:eastAsia="Times New Roman" w:hAnsi="Calibri" w:cs="Calibri"/>
                <w:color w:val="000000"/>
              </w:rPr>
              <w:t>cTN</w:t>
            </w:r>
            <w:proofErr w:type="spellEnd"/>
            <w:r w:rsidRPr="003969EA">
              <w:rPr>
                <w:rFonts w:ascii="Calibri" w:eastAsia="Times New Roman" w:hAnsi="Calibri" w:cs="Calibri"/>
                <w:color w:val="000000"/>
              </w:rPr>
              <w:t>)</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rPr>
            </w:pPr>
            <w:r w:rsidRPr="003969EA">
              <w:rPr>
                <w:rFonts w:ascii="Calibri" w:eastAsia="Times New Roman" w:hAnsi="Calibri" w:cs="Calibri"/>
              </w:rPr>
              <w:t>100</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0,79-1</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rPr>
            </w:pPr>
            <w:r w:rsidRPr="003969EA">
              <w:rPr>
                <w:rFonts w:ascii="Calibri" w:eastAsia="Times New Roman" w:hAnsi="Calibri" w:cs="Calibri"/>
              </w:rPr>
              <w:t>91</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0,57-0,995</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40</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0,20-0,64</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rPr>
            </w:pPr>
            <w:r w:rsidRPr="003969EA">
              <w:rPr>
                <w:rFonts w:ascii="Calibri" w:eastAsia="Times New Roman" w:hAnsi="Calibri" w:cs="Calibri"/>
              </w:rPr>
              <w:t>67</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0,41-0,86</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PPV</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61</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0,42-0,78</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rPr>
            </w:pPr>
            <w:r w:rsidRPr="003969EA">
              <w:rPr>
                <w:rFonts w:ascii="Calibri" w:eastAsia="Times New Roman" w:hAnsi="Calibri" w:cs="Calibri"/>
              </w:rPr>
              <w:t>63</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0,36-0,84</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NPV</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0,60-1</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rPr>
            </w:pPr>
            <w:r w:rsidRPr="003969EA">
              <w:rPr>
                <w:rFonts w:ascii="Calibri" w:eastAsia="Times New Roman" w:hAnsi="Calibri" w:cs="Calibri"/>
              </w:rPr>
              <w:t>92</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0,62-0,996</w:t>
            </w:r>
          </w:p>
        </w:tc>
      </w:tr>
      <w:tr w:rsidR="00F61680" w:rsidRPr="003969EA" w:rsidTr="006652D7">
        <w:trPr>
          <w:trHeight w:val="300"/>
          <w:jc w:val="center"/>
        </w:trPr>
        <w:tc>
          <w:tcPr>
            <w:tcW w:w="201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1018"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69</w:t>
            </w:r>
          </w:p>
        </w:tc>
        <w:tc>
          <w:tcPr>
            <w:tcW w:w="53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12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c>
          <w:tcPr>
            <w:tcW w:w="512"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rPr>
            </w:pPr>
            <w:r w:rsidRPr="003969EA">
              <w:rPr>
                <w:rFonts w:ascii="Calibri" w:eastAsia="Times New Roman" w:hAnsi="Calibri" w:cs="Calibri"/>
                <w:b/>
                <w:bCs/>
              </w:rPr>
              <w:t>76</w:t>
            </w:r>
          </w:p>
        </w:tc>
        <w:tc>
          <w:tcPr>
            <w:tcW w:w="796" w:type="pct"/>
            <w:tcBorders>
              <w:top w:val="nil"/>
              <w:left w:val="nil"/>
              <w:bottom w:val="nil"/>
              <w:right w:val="nil"/>
            </w:tcBorders>
            <w:shd w:val="clear" w:color="000000" w:fill="F2F2F2"/>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rPr>
                <w:rFonts w:ascii="Calibri" w:eastAsia="Times New Roman" w:hAnsi="Calibri" w:cs="Calibri"/>
                <w:color w:val="000000"/>
              </w:rPr>
            </w:pPr>
            <w:r w:rsidRPr="003969EA">
              <w:rPr>
                <w:rFonts w:ascii="Calibri" w:eastAsia="Times New Roman" w:hAnsi="Calibri" w:cs="Calibri"/>
                <w:color w:val="000000"/>
              </w:rPr>
              <w:t>Clinically significant progression (</w:t>
            </w:r>
            <w:proofErr w:type="spellStart"/>
            <w:r w:rsidRPr="003969EA">
              <w:rPr>
                <w:rFonts w:ascii="Calibri" w:eastAsia="Times New Roman" w:hAnsi="Calibri" w:cs="Calibri"/>
                <w:color w:val="000000"/>
              </w:rPr>
              <w:t>ypN</w:t>
            </w:r>
            <w:proofErr w:type="spellEnd"/>
            <w:r w:rsidRPr="003969EA">
              <w:rPr>
                <w:rFonts w:ascii="Calibri" w:eastAsia="Times New Roman" w:hAnsi="Calibri" w:cs="Calibri"/>
                <w:color w:val="000000"/>
              </w:rPr>
              <w:t>+/</w:t>
            </w:r>
            <w:proofErr w:type="spellStart"/>
            <w:r w:rsidRPr="003969EA">
              <w:rPr>
                <w:rFonts w:ascii="Calibri" w:eastAsia="Times New Roman" w:hAnsi="Calibri" w:cs="Calibri"/>
                <w:color w:val="000000"/>
              </w:rPr>
              <w:t>ypM</w:t>
            </w:r>
            <w:proofErr w:type="spellEnd"/>
            <w:r w:rsidRPr="003969EA">
              <w:rPr>
                <w:rFonts w:ascii="Calibri" w:eastAsia="Times New Roman" w:hAnsi="Calibri" w:cs="Calibri"/>
                <w:color w:val="000000"/>
              </w:rPr>
              <w:t>+)</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Sensitivity</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43</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0.12-0.80</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20</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0.01-0.70</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Specificity</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97</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0.82-0.998</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0.83-1</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PPV</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75</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0.22-0.97</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100</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0.05-1</w:t>
            </w:r>
          </w:p>
        </w:tc>
      </w:tr>
      <w:tr w:rsidR="00F61680" w:rsidRPr="003969EA" w:rsidTr="006652D7">
        <w:trPr>
          <w:trHeight w:val="300"/>
          <w:jc w:val="center"/>
        </w:trPr>
        <w:tc>
          <w:tcPr>
            <w:tcW w:w="201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color w:val="000000"/>
              </w:rPr>
            </w:pPr>
            <w:r w:rsidRPr="003969EA">
              <w:rPr>
                <w:rFonts w:ascii="Calibri" w:eastAsia="Times New Roman" w:hAnsi="Calibri" w:cs="Calibri"/>
                <w:color w:val="000000"/>
              </w:rPr>
              <w:t>NPV</w:t>
            </w:r>
          </w:p>
        </w:tc>
        <w:tc>
          <w:tcPr>
            <w:tcW w:w="1018"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86</w:t>
            </w:r>
          </w:p>
        </w:tc>
        <w:tc>
          <w:tcPr>
            <w:tcW w:w="53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0.72-0.96</w:t>
            </w:r>
          </w:p>
        </w:tc>
        <w:tc>
          <w:tcPr>
            <w:tcW w:w="12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86</w:t>
            </w:r>
          </w:p>
        </w:tc>
        <w:tc>
          <w:tcPr>
            <w:tcW w:w="796" w:type="pct"/>
            <w:tcBorders>
              <w:top w:val="nil"/>
              <w:left w:val="nil"/>
              <w:bottom w:val="nil"/>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0.66-0.95</w:t>
            </w:r>
          </w:p>
        </w:tc>
      </w:tr>
      <w:tr w:rsidR="00F61680" w:rsidRPr="003969EA" w:rsidTr="006652D7">
        <w:trPr>
          <w:trHeight w:val="300"/>
          <w:jc w:val="center"/>
        </w:trPr>
        <w:tc>
          <w:tcPr>
            <w:tcW w:w="2016" w:type="pct"/>
            <w:tcBorders>
              <w:top w:val="nil"/>
              <w:left w:val="nil"/>
              <w:bottom w:val="single" w:sz="4" w:space="0" w:color="auto"/>
              <w:right w:val="nil"/>
            </w:tcBorders>
            <w:shd w:val="clear" w:color="000000" w:fill="FFFFFF"/>
            <w:noWrap/>
            <w:vAlign w:val="center"/>
            <w:hideMark/>
          </w:tcPr>
          <w:p w:rsidR="00F61680" w:rsidRPr="003969EA" w:rsidRDefault="00F61680" w:rsidP="006652D7">
            <w:pPr>
              <w:spacing w:after="0" w:line="240" w:lineRule="auto"/>
              <w:jc w:val="right"/>
              <w:rPr>
                <w:rFonts w:ascii="Calibri" w:eastAsia="Times New Roman" w:hAnsi="Calibri" w:cs="Calibri"/>
                <w:b/>
                <w:bCs/>
                <w:color w:val="000000"/>
              </w:rPr>
            </w:pPr>
            <w:r w:rsidRPr="003969EA">
              <w:rPr>
                <w:rFonts w:ascii="Calibri" w:eastAsia="Times New Roman" w:hAnsi="Calibri" w:cs="Calibri"/>
                <w:b/>
                <w:bCs/>
                <w:color w:val="000000"/>
              </w:rPr>
              <w:t>Accuracy</w:t>
            </w:r>
          </w:p>
        </w:tc>
        <w:tc>
          <w:tcPr>
            <w:tcW w:w="1018" w:type="pct"/>
            <w:tcBorders>
              <w:top w:val="nil"/>
              <w:left w:val="nil"/>
              <w:bottom w:val="single" w:sz="4" w:space="0" w:color="auto"/>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87</w:t>
            </w:r>
          </w:p>
        </w:tc>
        <w:tc>
          <w:tcPr>
            <w:tcW w:w="536" w:type="pct"/>
            <w:tcBorders>
              <w:top w:val="nil"/>
              <w:left w:val="nil"/>
              <w:bottom w:val="single" w:sz="4" w:space="0" w:color="auto"/>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122" w:type="pct"/>
            <w:tcBorders>
              <w:top w:val="nil"/>
              <w:left w:val="nil"/>
              <w:bottom w:val="single" w:sz="4" w:space="0" w:color="auto"/>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c>
          <w:tcPr>
            <w:tcW w:w="512" w:type="pct"/>
            <w:tcBorders>
              <w:top w:val="nil"/>
              <w:left w:val="nil"/>
              <w:bottom w:val="single" w:sz="4" w:space="0" w:color="auto"/>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b/>
                <w:bCs/>
                <w:color w:val="000000"/>
              </w:rPr>
            </w:pPr>
            <w:r w:rsidRPr="003969EA">
              <w:rPr>
                <w:rFonts w:ascii="Calibri" w:eastAsia="Times New Roman" w:hAnsi="Calibri" w:cs="Calibri"/>
                <w:b/>
                <w:bCs/>
                <w:color w:val="000000"/>
              </w:rPr>
              <w:t>86</w:t>
            </w:r>
          </w:p>
        </w:tc>
        <w:tc>
          <w:tcPr>
            <w:tcW w:w="796" w:type="pct"/>
            <w:tcBorders>
              <w:top w:val="nil"/>
              <w:left w:val="nil"/>
              <w:bottom w:val="single" w:sz="4" w:space="0" w:color="auto"/>
              <w:right w:val="nil"/>
            </w:tcBorders>
            <w:shd w:val="clear" w:color="000000" w:fill="FFFFFF"/>
            <w:noWrap/>
            <w:vAlign w:val="center"/>
            <w:hideMark/>
          </w:tcPr>
          <w:p w:rsidR="00F61680" w:rsidRPr="003969EA" w:rsidRDefault="00F61680" w:rsidP="006652D7">
            <w:pPr>
              <w:spacing w:after="0" w:line="240" w:lineRule="auto"/>
              <w:jc w:val="center"/>
              <w:rPr>
                <w:rFonts w:ascii="Calibri" w:eastAsia="Times New Roman" w:hAnsi="Calibri" w:cs="Calibri"/>
                <w:color w:val="000000"/>
              </w:rPr>
            </w:pPr>
            <w:r w:rsidRPr="003969EA">
              <w:rPr>
                <w:rFonts w:ascii="Calibri" w:eastAsia="Times New Roman" w:hAnsi="Calibri" w:cs="Calibri"/>
                <w:color w:val="000000"/>
              </w:rPr>
              <w:t> </w:t>
            </w:r>
          </w:p>
        </w:tc>
      </w:tr>
      <w:tr w:rsidR="00F61680" w:rsidRPr="003969EA" w:rsidTr="006652D7">
        <w:trPr>
          <w:trHeight w:val="1035"/>
          <w:jc w:val="center"/>
        </w:trPr>
        <w:tc>
          <w:tcPr>
            <w:tcW w:w="5000" w:type="pct"/>
            <w:gridSpan w:val="6"/>
            <w:tcBorders>
              <w:top w:val="single" w:sz="4" w:space="0" w:color="auto"/>
              <w:left w:val="nil"/>
              <w:bottom w:val="nil"/>
              <w:right w:val="nil"/>
            </w:tcBorders>
            <w:shd w:val="clear" w:color="auto" w:fill="auto"/>
            <w:vAlign w:val="bottom"/>
            <w:hideMark/>
          </w:tcPr>
          <w:p w:rsidR="00F61680" w:rsidRPr="003969EA" w:rsidRDefault="00F61680" w:rsidP="006652D7">
            <w:pPr>
              <w:spacing w:after="0" w:line="240" w:lineRule="auto"/>
              <w:rPr>
                <w:rFonts w:ascii="Calibri" w:eastAsia="Times New Roman" w:hAnsi="Calibri" w:cs="Calibri"/>
                <w:i/>
                <w:iCs/>
                <w:color w:val="000000"/>
                <w:sz w:val="20"/>
                <w:szCs w:val="20"/>
              </w:rPr>
            </w:pPr>
            <w:r w:rsidRPr="003969EA">
              <w:rPr>
                <w:rFonts w:ascii="Calibri" w:eastAsia="Times New Roman" w:hAnsi="Calibri" w:cs="Calibri"/>
                <w:i/>
                <w:iCs/>
                <w:color w:val="000000"/>
                <w:sz w:val="20"/>
                <w:szCs w:val="20"/>
              </w:rPr>
              <w:t>95% CI = 95% confidence interval; CECT = contrast-enhanced Computed Tomography; FDG-PET/CT = (18)F-</w:t>
            </w:r>
            <w:proofErr w:type="spellStart"/>
            <w:r w:rsidRPr="003969EA">
              <w:rPr>
                <w:rFonts w:ascii="Calibri" w:eastAsia="Times New Roman" w:hAnsi="Calibri" w:cs="Calibri"/>
                <w:i/>
                <w:iCs/>
                <w:color w:val="000000"/>
                <w:sz w:val="20"/>
                <w:szCs w:val="20"/>
              </w:rPr>
              <w:t>fluorodeoxyglucose</w:t>
            </w:r>
            <w:proofErr w:type="spellEnd"/>
            <w:r w:rsidRPr="003969EA">
              <w:rPr>
                <w:rFonts w:ascii="Calibri" w:eastAsia="Times New Roman" w:hAnsi="Calibri" w:cs="Calibri"/>
                <w:i/>
                <w:iCs/>
                <w:color w:val="000000"/>
                <w:sz w:val="20"/>
                <w:szCs w:val="20"/>
              </w:rPr>
              <w:t xml:space="preserve"> Positron Emission Tomography / Computed Tomography; RECIST = Response Evaluation Criteria in Solid </w:t>
            </w:r>
            <w:proofErr w:type="spellStart"/>
            <w:r w:rsidRPr="003969EA">
              <w:rPr>
                <w:rFonts w:ascii="Calibri" w:eastAsia="Times New Roman" w:hAnsi="Calibri" w:cs="Calibri"/>
                <w:i/>
                <w:iCs/>
                <w:color w:val="000000"/>
                <w:sz w:val="20"/>
                <w:szCs w:val="20"/>
              </w:rPr>
              <w:t>Tumours</w:t>
            </w:r>
            <w:proofErr w:type="spellEnd"/>
            <w:r w:rsidRPr="003969EA">
              <w:rPr>
                <w:rFonts w:ascii="Calibri" w:eastAsia="Times New Roman" w:hAnsi="Calibri" w:cs="Calibri"/>
                <w:i/>
                <w:iCs/>
                <w:color w:val="000000"/>
                <w:sz w:val="20"/>
                <w:szCs w:val="20"/>
              </w:rPr>
              <w:t xml:space="preserve">; </w:t>
            </w:r>
            <w:proofErr w:type="spellStart"/>
            <w:r w:rsidRPr="003969EA">
              <w:rPr>
                <w:rFonts w:ascii="Calibri" w:eastAsia="Times New Roman" w:hAnsi="Calibri" w:cs="Calibri"/>
                <w:i/>
                <w:iCs/>
                <w:color w:val="000000"/>
                <w:sz w:val="20"/>
                <w:szCs w:val="20"/>
              </w:rPr>
              <w:t>ypM</w:t>
            </w:r>
            <w:proofErr w:type="spellEnd"/>
            <w:r w:rsidRPr="003969EA">
              <w:rPr>
                <w:rFonts w:ascii="Calibri" w:eastAsia="Times New Roman" w:hAnsi="Calibri" w:cs="Calibri"/>
                <w:i/>
                <w:iCs/>
                <w:color w:val="000000"/>
                <w:sz w:val="20"/>
                <w:szCs w:val="20"/>
              </w:rPr>
              <w:t xml:space="preserve"> = distant metastases after </w:t>
            </w:r>
            <w:proofErr w:type="spellStart"/>
            <w:r w:rsidRPr="003969EA">
              <w:rPr>
                <w:rFonts w:ascii="Calibri" w:eastAsia="Times New Roman" w:hAnsi="Calibri" w:cs="Calibri"/>
                <w:i/>
                <w:iCs/>
                <w:color w:val="000000"/>
                <w:sz w:val="20"/>
                <w:szCs w:val="20"/>
              </w:rPr>
              <w:t>neoadjuvant</w:t>
            </w:r>
            <w:proofErr w:type="spellEnd"/>
            <w:r w:rsidRPr="003969EA">
              <w:rPr>
                <w:rFonts w:ascii="Calibri" w:eastAsia="Times New Roman" w:hAnsi="Calibri" w:cs="Calibri"/>
                <w:i/>
                <w:iCs/>
                <w:color w:val="000000"/>
                <w:sz w:val="20"/>
                <w:szCs w:val="20"/>
              </w:rPr>
              <w:t xml:space="preserve"> treatment; </w:t>
            </w:r>
            <w:proofErr w:type="spellStart"/>
            <w:r w:rsidRPr="003969EA">
              <w:rPr>
                <w:rFonts w:ascii="Calibri" w:eastAsia="Times New Roman" w:hAnsi="Calibri" w:cs="Calibri"/>
                <w:i/>
                <w:iCs/>
                <w:color w:val="000000"/>
                <w:sz w:val="20"/>
                <w:szCs w:val="20"/>
              </w:rPr>
              <w:t>ypN</w:t>
            </w:r>
            <w:proofErr w:type="spellEnd"/>
            <w:r w:rsidRPr="003969EA">
              <w:rPr>
                <w:rFonts w:ascii="Calibri" w:eastAsia="Times New Roman" w:hAnsi="Calibri" w:cs="Calibri"/>
                <w:i/>
                <w:iCs/>
                <w:color w:val="000000"/>
                <w:sz w:val="20"/>
                <w:szCs w:val="20"/>
              </w:rPr>
              <w:t xml:space="preserve"> = pathological nodal stage after </w:t>
            </w:r>
            <w:proofErr w:type="spellStart"/>
            <w:r w:rsidRPr="003969EA">
              <w:rPr>
                <w:rFonts w:ascii="Calibri" w:eastAsia="Times New Roman" w:hAnsi="Calibri" w:cs="Calibri"/>
                <w:i/>
                <w:iCs/>
                <w:color w:val="000000"/>
                <w:sz w:val="20"/>
                <w:szCs w:val="20"/>
              </w:rPr>
              <w:t>neoadjuvant</w:t>
            </w:r>
            <w:proofErr w:type="spellEnd"/>
            <w:r w:rsidRPr="003969EA">
              <w:rPr>
                <w:rFonts w:ascii="Calibri" w:eastAsia="Times New Roman" w:hAnsi="Calibri" w:cs="Calibri"/>
                <w:i/>
                <w:iCs/>
                <w:color w:val="000000"/>
                <w:sz w:val="20"/>
                <w:szCs w:val="20"/>
              </w:rPr>
              <w:t xml:space="preserve"> treatment; </w:t>
            </w:r>
            <w:proofErr w:type="spellStart"/>
            <w:r w:rsidRPr="003969EA">
              <w:rPr>
                <w:rFonts w:ascii="Calibri" w:eastAsia="Times New Roman" w:hAnsi="Calibri" w:cs="Calibri"/>
                <w:i/>
                <w:iCs/>
                <w:color w:val="000000"/>
                <w:sz w:val="20"/>
                <w:szCs w:val="20"/>
              </w:rPr>
              <w:t>ypT</w:t>
            </w:r>
            <w:proofErr w:type="spellEnd"/>
            <w:r w:rsidRPr="003969EA">
              <w:rPr>
                <w:rFonts w:ascii="Calibri" w:eastAsia="Times New Roman" w:hAnsi="Calibri" w:cs="Calibri"/>
                <w:i/>
                <w:iCs/>
                <w:color w:val="000000"/>
                <w:sz w:val="20"/>
                <w:szCs w:val="20"/>
              </w:rPr>
              <w:t xml:space="preserve"> = pathological tumor stage after neoadjuvant treatment</w:t>
            </w:r>
          </w:p>
        </w:tc>
      </w:tr>
    </w:tbl>
    <w:p w:rsidR="00F61680" w:rsidRPr="005C06E3" w:rsidRDefault="00F61680">
      <w:pPr>
        <w:rPr>
          <w:sz w:val="28"/>
        </w:rPr>
      </w:pPr>
    </w:p>
    <w:tbl>
      <w:tblPr>
        <w:tblStyle w:val="Tabelraster"/>
        <w:tblW w:w="11058"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3448"/>
        <w:gridCol w:w="2501"/>
      </w:tblGrid>
      <w:tr w:rsidR="005C06E3" w:rsidTr="005C06E3">
        <w:trPr>
          <w:trHeight w:val="256"/>
        </w:trPr>
        <w:tc>
          <w:tcPr>
            <w:tcW w:w="11058" w:type="dxa"/>
            <w:gridSpan w:val="3"/>
          </w:tcPr>
          <w:p w:rsidR="005C06E3" w:rsidRPr="00A35637" w:rsidRDefault="005C06E3" w:rsidP="005C06E3">
            <w:pPr>
              <w:spacing w:line="360" w:lineRule="auto"/>
              <w:rPr>
                <w:b/>
                <w:highlight w:val="yellow"/>
              </w:rPr>
            </w:pPr>
            <w:r w:rsidRPr="00A35637">
              <w:rPr>
                <w:b/>
                <w:highlight w:val="yellow"/>
              </w:rPr>
              <w:t xml:space="preserve">Suppl. Table 4. </w:t>
            </w:r>
            <w:proofErr w:type="spellStart"/>
            <w:r w:rsidRPr="00A35637">
              <w:rPr>
                <w:b/>
                <w:highlight w:val="yellow"/>
              </w:rPr>
              <w:t>Subanalyses</w:t>
            </w:r>
            <w:proofErr w:type="spellEnd"/>
            <w:r w:rsidRPr="00A35637">
              <w:rPr>
                <w:b/>
                <w:highlight w:val="yellow"/>
              </w:rPr>
              <w:t xml:space="preserve"> of pathological response rates in patients without metastatic disease (i.e. cT2-4N0M0) and node-positive patients (i.e. </w:t>
            </w:r>
            <w:proofErr w:type="spellStart"/>
            <w:r w:rsidRPr="00A35637">
              <w:rPr>
                <w:b/>
                <w:highlight w:val="yellow"/>
              </w:rPr>
              <w:t>cTanyN</w:t>
            </w:r>
            <w:proofErr w:type="spellEnd"/>
            <w:r w:rsidRPr="00A35637">
              <w:rPr>
                <w:b/>
                <w:highlight w:val="yellow"/>
              </w:rPr>
              <w:t>+/M1a).</w:t>
            </w:r>
          </w:p>
        </w:tc>
      </w:tr>
      <w:tr w:rsidR="005C06E3" w:rsidTr="005C06E3">
        <w:trPr>
          <w:trHeight w:val="78"/>
        </w:trPr>
        <w:tc>
          <w:tcPr>
            <w:tcW w:w="11058" w:type="dxa"/>
            <w:gridSpan w:val="3"/>
            <w:tcBorders>
              <w:bottom w:val="single" w:sz="4" w:space="0" w:color="auto"/>
            </w:tcBorders>
          </w:tcPr>
          <w:p w:rsidR="005C06E3" w:rsidRPr="00A35637" w:rsidRDefault="005C06E3" w:rsidP="005C06E3">
            <w:pPr>
              <w:spacing w:line="360" w:lineRule="auto"/>
              <w:rPr>
                <w:b/>
                <w:sz w:val="2"/>
                <w:highlight w:val="yellow"/>
              </w:rPr>
            </w:pPr>
          </w:p>
        </w:tc>
      </w:tr>
      <w:tr w:rsidR="005C06E3" w:rsidTr="005C06E3">
        <w:trPr>
          <w:trHeight w:val="256"/>
        </w:trPr>
        <w:tc>
          <w:tcPr>
            <w:tcW w:w="5109" w:type="dxa"/>
            <w:tcBorders>
              <w:top w:val="single" w:sz="4" w:space="0" w:color="auto"/>
            </w:tcBorders>
          </w:tcPr>
          <w:p w:rsidR="005C06E3" w:rsidRPr="00A35637" w:rsidRDefault="005C06E3" w:rsidP="005C06E3">
            <w:pPr>
              <w:spacing w:line="360" w:lineRule="auto"/>
              <w:rPr>
                <w:b/>
                <w:highlight w:val="yellow"/>
              </w:rPr>
            </w:pPr>
            <w:r w:rsidRPr="00A35637">
              <w:rPr>
                <w:b/>
                <w:highlight w:val="yellow"/>
              </w:rPr>
              <w:t>Pathological response (n, %)</w:t>
            </w:r>
          </w:p>
        </w:tc>
        <w:tc>
          <w:tcPr>
            <w:tcW w:w="3448" w:type="dxa"/>
            <w:tcBorders>
              <w:top w:val="single" w:sz="4" w:space="0" w:color="auto"/>
            </w:tcBorders>
          </w:tcPr>
          <w:p w:rsidR="005C06E3" w:rsidRPr="00A35637" w:rsidRDefault="005C06E3" w:rsidP="005C06E3">
            <w:pPr>
              <w:spacing w:line="360" w:lineRule="auto"/>
              <w:jc w:val="center"/>
              <w:rPr>
                <w:b/>
                <w:highlight w:val="yellow"/>
              </w:rPr>
            </w:pPr>
            <w:r w:rsidRPr="00A35637">
              <w:rPr>
                <w:b/>
                <w:highlight w:val="yellow"/>
              </w:rPr>
              <w:t>cT2-4N0M0</w:t>
            </w:r>
          </w:p>
        </w:tc>
        <w:tc>
          <w:tcPr>
            <w:tcW w:w="2501" w:type="dxa"/>
            <w:tcBorders>
              <w:top w:val="single" w:sz="4" w:space="0" w:color="auto"/>
            </w:tcBorders>
          </w:tcPr>
          <w:p w:rsidR="005C06E3" w:rsidRPr="00A35637" w:rsidRDefault="005C06E3" w:rsidP="005C06E3">
            <w:pPr>
              <w:spacing w:line="360" w:lineRule="auto"/>
              <w:jc w:val="center"/>
              <w:rPr>
                <w:b/>
                <w:highlight w:val="yellow"/>
              </w:rPr>
            </w:pPr>
            <w:proofErr w:type="spellStart"/>
            <w:r w:rsidRPr="00A35637">
              <w:rPr>
                <w:b/>
                <w:highlight w:val="yellow"/>
              </w:rPr>
              <w:t>cTanyN</w:t>
            </w:r>
            <w:proofErr w:type="spellEnd"/>
            <w:r w:rsidRPr="00A35637">
              <w:rPr>
                <w:b/>
                <w:highlight w:val="yellow"/>
              </w:rPr>
              <w:t>+/M1a</w:t>
            </w:r>
          </w:p>
        </w:tc>
      </w:tr>
      <w:tr w:rsidR="005C06E3" w:rsidTr="005C06E3">
        <w:trPr>
          <w:trHeight w:val="241"/>
        </w:trPr>
        <w:tc>
          <w:tcPr>
            <w:tcW w:w="5109" w:type="dxa"/>
          </w:tcPr>
          <w:p w:rsidR="005C06E3" w:rsidRPr="00A35637" w:rsidRDefault="005C06E3" w:rsidP="005C06E3">
            <w:pPr>
              <w:spacing w:line="360" w:lineRule="auto"/>
              <w:jc w:val="right"/>
              <w:rPr>
                <w:highlight w:val="yellow"/>
              </w:rPr>
            </w:pPr>
            <w:r w:rsidRPr="00A35637">
              <w:rPr>
                <w:highlight w:val="yellow"/>
              </w:rPr>
              <w:t>Complete pathological response (ypT0N0)</w:t>
            </w:r>
          </w:p>
        </w:tc>
        <w:tc>
          <w:tcPr>
            <w:tcW w:w="3448" w:type="dxa"/>
          </w:tcPr>
          <w:p w:rsidR="005C06E3" w:rsidRPr="00A35637" w:rsidRDefault="005C06E3" w:rsidP="005C06E3">
            <w:pPr>
              <w:spacing w:line="360" w:lineRule="auto"/>
              <w:jc w:val="center"/>
              <w:rPr>
                <w:highlight w:val="yellow"/>
              </w:rPr>
            </w:pPr>
            <w:r w:rsidRPr="00A35637">
              <w:rPr>
                <w:highlight w:val="yellow"/>
              </w:rPr>
              <w:t>12 (28)</w:t>
            </w:r>
          </w:p>
        </w:tc>
        <w:tc>
          <w:tcPr>
            <w:tcW w:w="2501" w:type="dxa"/>
          </w:tcPr>
          <w:p w:rsidR="005C06E3" w:rsidRPr="00A35637" w:rsidRDefault="005C06E3" w:rsidP="005C06E3">
            <w:pPr>
              <w:spacing w:line="360" w:lineRule="auto"/>
              <w:jc w:val="center"/>
              <w:rPr>
                <w:highlight w:val="yellow"/>
              </w:rPr>
            </w:pPr>
            <w:r w:rsidRPr="00A35637">
              <w:rPr>
                <w:highlight w:val="yellow"/>
              </w:rPr>
              <w:t>5 (13)</w:t>
            </w:r>
          </w:p>
        </w:tc>
      </w:tr>
      <w:tr w:rsidR="005C06E3" w:rsidTr="005C06E3">
        <w:trPr>
          <w:trHeight w:val="256"/>
        </w:trPr>
        <w:tc>
          <w:tcPr>
            <w:tcW w:w="5109" w:type="dxa"/>
          </w:tcPr>
          <w:p w:rsidR="005C06E3" w:rsidRPr="00A35637" w:rsidRDefault="005C06E3" w:rsidP="005C06E3">
            <w:pPr>
              <w:spacing w:line="360" w:lineRule="auto"/>
              <w:jc w:val="right"/>
              <w:rPr>
                <w:highlight w:val="yellow"/>
              </w:rPr>
            </w:pPr>
            <w:r w:rsidRPr="00A35637">
              <w:rPr>
                <w:highlight w:val="yellow"/>
              </w:rPr>
              <w:t xml:space="preserve">Complete pathological </w:t>
            </w:r>
            <w:proofErr w:type="spellStart"/>
            <w:r w:rsidRPr="00A35637">
              <w:rPr>
                <w:highlight w:val="yellow"/>
              </w:rPr>
              <w:t>downstaging</w:t>
            </w:r>
            <w:proofErr w:type="spellEnd"/>
            <w:r w:rsidRPr="00A35637">
              <w:rPr>
                <w:highlight w:val="yellow"/>
              </w:rPr>
              <w:t xml:space="preserve"> (</w:t>
            </w:r>
            <w:r w:rsidRPr="00A35637">
              <w:rPr>
                <w:rFonts w:cstheme="minorHAnsi"/>
                <w:highlight w:val="yellow"/>
              </w:rPr>
              <w:t>≤</w:t>
            </w:r>
            <w:r w:rsidRPr="00A35637">
              <w:rPr>
                <w:highlight w:val="yellow"/>
              </w:rPr>
              <w:t>ypT1N0)</w:t>
            </w:r>
          </w:p>
        </w:tc>
        <w:tc>
          <w:tcPr>
            <w:tcW w:w="3448" w:type="dxa"/>
          </w:tcPr>
          <w:p w:rsidR="005C06E3" w:rsidRPr="00A35637" w:rsidRDefault="005C06E3" w:rsidP="005C06E3">
            <w:pPr>
              <w:spacing w:line="360" w:lineRule="auto"/>
              <w:jc w:val="center"/>
              <w:rPr>
                <w:highlight w:val="yellow"/>
              </w:rPr>
            </w:pPr>
            <w:r w:rsidRPr="00A35637">
              <w:rPr>
                <w:highlight w:val="yellow"/>
              </w:rPr>
              <w:t>15 (35)</w:t>
            </w:r>
          </w:p>
        </w:tc>
        <w:tc>
          <w:tcPr>
            <w:tcW w:w="2501" w:type="dxa"/>
          </w:tcPr>
          <w:p w:rsidR="005C06E3" w:rsidRPr="00A35637" w:rsidRDefault="005C06E3" w:rsidP="005C06E3">
            <w:pPr>
              <w:spacing w:line="360" w:lineRule="auto"/>
              <w:jc w:val="center"/>
              <w:rPr>
                <w:highlight w:val="yellow"/>
              </w:rPr>
            </w:pPr>
            <w:r w:rsidRPr="00A35637">
              <w:rPr>
                <w:highlight w:val="yellow"/>
              </w:rPr>
              <w:t>9 (23)</w:t>
            </w:r>
          </w:p>
        </w:tc>
      </w:tr>
    </w:tbl>
    <w:p w:rsidR="00F61680" w:rsidRPr="003969EA" w:rsidRDefault="00F61680" w:rsidP="00F61680">
      <w:pPr>
        <w:pStyle w:val="Kop1"/>
        <w:rPr>
          <w:lang w:val="en-US"/>
        </w:rPr>
      </w:pPr>
      <w:r w:rsidRPr="003969EA">
        <w:rPr>
          <w:lang w:val="en-US"/>
        </w:rPr>
        <w:lastRenderedPageBreak/>
        <w:t>Appendix A -  study protocol (X14BSB)</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Prospective evaluation of on-treatment chemotherapy response with FDG-PET/CT and CECT in invasive bladder cancer patients</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rPr>
      </w:pPr>
      <w:r w:rsidRPr="003969EA">
        <w:rPr>
          <w:rFonts w:cs="Arial"/>
          <w:b/>
        </w:rPr>
        <w:t>Introduction</w:t>
      </w:r>
    </w:p>
    <w:p w:rsidR="00F61680" w:rsidRPr="003969EA" w:rsidRDefault="00F61680" w:rsidP="00F61680">
      <w:pPr>
        <w:spacing w:after="0" w:line="480" w:lineRule="auto"/>
        <w:contextualSpacing/>
        <w:jc w:val="both"/>
        <w:rPr>
          <w:rFonts w:cs="Arial"/>
          <w:lang w:val="en-GB"/>
        </w:rPr>
      </w:pPr>
      <w:r w:rsidRPr="003969EA">
        <w:rPr>
          <w:rFonts w:cs="Arial"/>
          <w:lang w:val="en-GB"/>
        </w:rPr>
        <w:t>The standard treatment for muscle invasive bladder cancer (MIBC) is radical surgical removal of the bladder including regional lymph nodes (1). As administration of neoadjuvant or induction chemotherapy (NAIC) has established a significant survival benefit, it is nowadays recommended in locally advanced bladder cancer (1). However, induced morbidity and non-response rate are considerable (2, 3). Thus, early and adequate identification of non-responders is important in order to reduce both unnecessary chemotoxicity and delay in primary treatment. At the moment, first response evaluation is performed using contrast-enhanced CT of the abdomen and chest (CECT) following 2 cycles of neoadjuvant chemotherapy. Previous literature suggests that response after 2 cycles of NAC is related to outcome, but studies are limited and populations small (1). In addition, it is suggested that FDG-PET/CT can identify response before CT or MRI, due to visualization of early alterations in tumour metabolism that occur before morphological change (tumour shrinkage) becomes visible (4). A recent pilot study by our group has suggested that FDG-PET/CT may be useful for evaluating the nodal response after 4 cycles of NAIC (5). The accuracy of FDG-PET/CT for evaluating nodal response after 2 cycles of NAIC has not yet been investigated. We hypothesize that after 2 cycles of NAIC, FDG-PET/CT is better than CECT at predicting nodal response after the end of NAIC, as evaluated by pelvic lymphadenectomy and pathology.</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Patient selection</w:t>
      </w:r>
    </w:p>
    <w:p w:rsidR="00F61680" w:rsidRPr="003969EA" w:rsidRDefault="00F61680" w:rsidP="00F61680">
      <w:pPr>
        <w:spacing w:after="0" w:line="480" w:lineRule="auto"/>
        <w:contextualSpacing/>
        <w:jc w:val="both"/>
        <w:rPr>
          <w:rFonts w:cs="Arial"/>
          <w:lang w:val="en-GB"/>
        </w:rPr>
      </w:pPr>
      <w:r w:rsidRPr="003969EA">
        <w:rPr>
          <w:rFonts w:cs="Arial"/>
          <w:lang w:val="en-GB"/>
        </w:rPr>
        <w:lastRenderedPageBreak/>
        <w:t xml:space="preserve">Patients with muscle invasive transitional cell carcinoma, eligible for neoadjuvant chemotherapy or induction chemotherapy, based on CECT and TUR findings. </w:t>
      </w:r>
    </w:p>
    <w:p w:rsidR="00F61680" w:rsidRPr="003969EA" w:rsidRDefault="00F61680" w:rsidP="00F61680">
      <w:pPr>
        <w:spacing w:after="0" w:line="480" w:lineRule="auto"/>
        <w:contextualSpacing/>
        <w:jc w:val="both"/>
        <w:rPr>
          <w:rFonts w:cs="Arial"/>
          <w:lang w:val="en-GB"/>
        </w:rPr>
      </w:pPr>
      <w:r w:rsidRPr="003969EA">
        <w:rPr>
          <w:rFonts w:cs="Arial"/>
          <w:lang w:val="en-GB"/>
        </w:rPr>
        <w:t>NAIC should consist of MVAC, GEM/cisplatin or GEM/carboplatin based chemotherapy.</w:t>
      </w:r>
    </w:p>
    <w:p w:rsidR="00F61680" w:rsidRPr="003969EA" w:rsidRDefault="00F61680" w:rsidP="00F61680">
      <w:pPr>
        <w:spacing w:after="0" w:line="480" w:lineRule="auto"/>
        <w:contextualSpacing/>
        <w:jc w:val="both"/>
        <w:rPr>
          <w:rFonts w:cs="Arial"/>
          <w:lang w:val="en-GB"/>
        </w:rPr>
      </w:pPr>
      <w:r w:rsidRPr="003969EA">
        <w:rPr>
          <w:rFonts w:cs="Arial"/>
          <w:lang w:val="en-GB"/>
        </w:rPr>
        <w:t>Exclusion criteria are: patients not eligible for NAIC due to renal impairment (GFR below 30 ml/min), patients ineligible for cystectomy due to high ASA score, low performance status and/or unwillingness to undergo NAIC, patients with distant (organ and LN above renal vein) metastasis.</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rPr>
      </w:pPr>
      <w:r w:rsidRPr="003969EA">
        <w:rPr>
          <w:rFonts w:cs="Arial"/>
          <w:b/>
        </w:rPr>
        <w:t>Objective</w:t>
      </w:r>
    </w:p>
    <w:p w:rsidR="00F61680" w:rsidRPr="003969EA" w:rsidRDefault="00F61680" w:rsidP="00F61680">
      <w:pPr>
        <w:spacing w:after="0" w:line="480" w:lineRule="auto"/>
        <w:contextualSpacing/>
        <w:jc w:val="both"/>
        <w:rPr>
          <w:rFonts w:cs="Arial"/>
          <w:lang w:val="en-GB"/>
        </w:rPr>
      </w:pPr>
      <w:r w:rsidRPr="003969EA">
        <w:rPr>
          <w:rFonts w:cs="Arial"/>
          <w:lang w:val="en-GB"/>
        </w:rPr>
        <w:t>To assess accuracy in distinguishing responders from non-responders with FDG-PET/CT imaging after 2 cycles of NAC/IC for MIBC and compare results with conventional CECT.</w:t>
      </w:r>
    </w:p>
    <w:p w:rsidR="00F61680" w:rsidRPr="003969EA" w:rsidRDefault="00F61680" w:rsidP="00F61680">
      <w:pPr>
        <w:spacing w:after="0" w:line="480" w:lineRule="auto"/>
        <w:ind w:left="720"/>
        <w:contextualSpacing/>
        <w:jc w:val="both"/>
        <w:rPr>
          <w:rFonts w:cs="Arial"/>
          <w:lang w:val="en-GB"/>
        </w:rPr>
      </w:pPr>
    </w:p>
    <w:p w:rsidR="00F61680" w:rsidRPr="003969EA" w:rsidRDefault="00F61680" w:rsidP="00F61680">
      <w:pPr>
        <w:spacing w:after="0" w:line="480" w:lineRule="auto"/>
        <w:contextualSpacing/>
        <w:jc w:val="both"/>
        <w:rPr>
          <w:rFonts w:cs="Arial"/>
          <w:b/>
        </w:rPr>
      </w:pPr>
      <w:r w:rsidRPr="003969EA">
        <w:rPr>
          <w:rFonts w:cs="Arial"/>
          <w:b/>
        </w:rPr>
        <w:t>Study design</w:t>
      </w:r>
    </w:p>
    <w:p w:rsidR="00F61680" w:rsidRPr="003969EA" w:rsidRDefault="00F61680" w:rsidP="00F61680">
      <w:pPr>
        <w:spacing w:after="0" w:line="480" w:lineRule="auto"/>
        <w:contextualSpacing/>
        <w:jc w:val="both"/>
        <w:rPr>
          <w:rFonts w:cs="Arial"/>
          <w:lang w:val="en-GB"/>
        </w:rPr>
      </w:pPr>
      <w:r w:rsidRPr="003969EA">
        <w:rPr>
          <w:rFonts w:cs="Arial"/>
          <w:lang w:val="en-GB"/>
        </w:rPr>
        <w:t xml:space="preserve">At our institution, initial staging for BC consists of TUR-B, CECT and FDG-PET/CT, including delayed imaging after forced diuresis (method previously described (6)). Patients with cT2N0M0 BC are treated with radical cystectomy and lymph node dissection within 6 weeks. Patients with locally or regionally advanced disease (T3+ or nodal metastases below the renal vein) are treated with neoadjuvant or induction chemotherapy, respectively, followed by radical cystectomy and PLND, if progression does not occur. When lymph node metastases are suspected on staging CT or FDG-PET/CT, fine needle aspiration (FNA) of suspicious lymph nodes is performed before administration of NAIC. In case of inconclusive FNA results, FNA is repeated with a maximum of 2 aspirations in total. All patients are discussed in multidisciplinary rounds with representatives from urology, radiation oncology, medical oncology, radiology, nuclear medicine and pathology. At the moment, response to NAIC is assessed by CECT imaging 2 weeks after 2 cycles of chemotherapy and by FDG-PET/CT imaging 2 weeks after 4 cycles of chemotherapy. Surgery is planned, based on CECT findings after 2 cycles of chemotherapy. Based on previous study results, as </w:t>
      </w:r>
      <w:r w:rsidRPr="003969EA">
        <w:rPr>
          <w:rFonts w:cs="Arial"/>
          <w:lang w:val="en-GB"/>
        </w:rPr>
        <w:lastRenderedPageBreak/>
        <w:t xml:space="preserve">described above, our institutional standard evaluation of chemotherapy response will be altered: after 2 cycles of NAIC, response evaluation will consist of both CECT and FDG-PET/CT imaging (including delayed PET imaging after forced diuresis). Surgery will be planned based on both imaging results </w:t>
      </w:r>
      <w:r w:rsidRPr="003969EA">
        <w:rPr>
          <w:rFonts w:cs="Arial"/>
          <w:b/>
          <w:lang w:val="en-GB"/>
        </w:rPr>
        <w:t>(Fig1)</w:t>
      </w:r>
      <w:r w:rsidRPr="003969EA">
        <w:rPr>
          <w:rFonts w:cs="Arial"/>
          <w:lang w:val="en-GB"/>
        </w:rPr>
        <w:t xml:space="preserve">. After completion of NAIC, no further evaluation will be performed before surgery unless clinical suspicion of progression. </w:t>
      </w:r>
    </w:p>
    <w:p w:rsidR="00F61680" w:rsidRPr="003969EA" w:rsidRDefault="00F61680" w:rsidP="00F61680">
      <w:pPr>
        <w:spacing w:after="0" w:line="480" w:lineRule="auto"/>
        <w:ind w:firstLine="708"/>
        <w:contextualSpacing/>
        <w:jc w:val="both"/>
        <w:rPr>
          <w:rFonts w:cs="Arial"/>
          <w:lang w:val="en-GB"/>
        </w:rPr>
      </w:pPr>
      <w:r w:rsidRPr="003969EA">
        <w:rPr>
          <w:noProof/>
          <w:lang w:val="nl-NL" w:eastAsia="nl-NL"/>
        </w:rPr>
        <w:drawing>
          <wp:anchor distT="0" distB="0" distL="114300" distR="114300" simplePos="0" relativeHeight="251659264" behindDoc="0" locked="0" layoutInCell="1" allowOverlap="1" wp14:anchorId="6A972614" wp14:editId="439CB9D6">
            <wp:simplePos x="0" y="0"/>
            <wp:positionH relativeFrom="column">
              <wp:posOffset>-886460</wp:posOffset>
            </wp:positionH>
            <wp:positionV relativeFrom="paragraph">
              <wp:posOffset>1805940</wp:posOffset>
            </wp:positionV>
            <wp:extent cx="7529195" cy="1965325"/>
            <wp:effectExtent l="0" t="0" r="0" b="0"/>
            <wp:wrapTopAndBottom/>
            <wp:docPr id="2" name="Picture 2" descr="Tekeni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kening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9195" cy="1965325"/>
                    </a:xfrm>
                    <a:prstGeom prst="rect">
                      <a:avLst/>
                    </a:prstGeom>
                    <a:noFill/>
                  </pic:spPr>
                </pic:pic>
              </a:graphicData>
            </a:graphic>
            <wp14:sizeRelH relativeFrom="page">
              <wp14:pctWidth>0</wp14:pctWidth>
            </wp14:sizeRelH>
            <wp14:sizeRelV relativeFrom="page">
              <wp14:pctHeight>0</wp14:pctHeight>
            </wp14:sizeRelV>
          </wp:anchor>
        </w:drawing>
      </w:r>
      <w:r w:rsidRPr="003969EA">
        <w:rPr>
          <w:rFonts w:cs="Arial"/>
          <w:lang w:val="en-GB"/>
        </w:rPr>
        <w:t>In this prospective cohort study, clinical NAIC responses based on FDG-PET/CT and on CECT findings will be registered and compared. Cystectomy and lymph node dissection histology after completion of chemotherapy will serve as the golden standard for NAIC response identification, unless obvious progression is detected at clinical response evaluation. In patients without histological confirmation, further progression at clinical follow-up will be used as a confirmation.</w:t>
      </w:r>
    </w:p>
    <w:p w:rsidR="00F61680" w:rsidRPr="003969EA" w:rsidRDefault="00F61680" w:rsidP="00F61680">
      <w:pPr>
        <w:spacing w:after="0" w:line="480" w:lineRule="auto"/>
        <w:contextualSpacing/>
        <w:jc w:val="both"/>
        <w:rPr>
          <w:rFonts w:cs="Arial"/>
        </w:rPr>
      </w:pPr>
    </w:p>
    <w:p w:rsidR="00F61680" w:rsidRPr="003969EA" w:rsidRDefault="00F61680" w:rsidP="00F61680">
      <w:pPr>
        <w:spacing w:after="0" w:line="480" w:lineRule="auto"/>
        <w:contextualSpacing/>
        <w:jc w:val="both"/>
        <w:rPr>
          <w:rFonts w:cs="Arial"/>
          <w:lang w:val="en-GB"/>
        </w:rPr>
      </w:pPr>
      <w:r w:rsidRPr="003969EA">
        <w:rPr>
          <w:rFonts w:cs="Arial"/>
          <w:b/>
          <w:lang w:val="en-GB"/>
        </w:rPr>
        <w:t>Figure 1.</w:t>
      </w:r>
      <w:r w:rsidRPr="003969EA">
        <w:rPr>
          <w:rFonts w:cs="Arial"/>
          <w:lang w:val="en-GB"/>
        </w:rPr>
        <w:t xml:space="preserve"> Outline of the future treatment and evaluation procedures for patients with MIBC.</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rPr>
      </w:pPr>
      <w:r w:rsidRPr="003969EA">
        <w:rPr>
          <w:rFonts w:cs="Arial"/>
          <w:b/>
        </w:rPr>
        <w:t>Primary study end point</w:t>
      </w:r>
    </w:p>
    <w:p w:rsidR="00F61680" w:rsidRPr="003969EA" w:rsidRDefault="00F61680" w:rsidP="00F61680">
      <w:pPr>
        <w:numPr>
          <w:ilvl w:val="0"/>
          <w:numId w:val="2"/>
        </w:numPr>
        <w:spacing w:after="0" w:line="480" w:lineRule="auto"/>
        <w:contextualSpacing/>
        <w:jc w:val="both"/>
        <w:rPr>
          <w:rFonts w:cs="Arial"/>
          <w:lang w:val="en-GB"/>
        </w:rPr>
      </w:pPr>
      <w:r w:rsidRPr="003969EA">
        <w:rPr>
          <w:rFonts w:cs="Arial"/>
          <w:lang w:val="en-GB"/>
        </w:rPr>
        <w:t xml:space="preserve">Sensitivity and specificity, PPV and NPV in distinguishing responders from non-responders with FDG-PET/CT imaging after 2 cycles of NAIC. </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Secondary study end point</w:t>
      </w:r>
    </w:p>
    <w:p w:rsidR="00F61680" w:rsidRPr="003969EA" w:rsidRDefault="00F61680" w:rsidP="00F61680">
      <w:pPr>
        <w:numPr>
          <w:ilvl w:val="0"/>
          <w:numId w:val="2"/>
        </w:numPr>
        <w:spacing w:after="0" w:line="480" w:lineRule="auto"/>
        <w:contextualSpacing/>
        <w:jc w:val="both"/>
        <w:rPr>
          <w:rFonts w:cs="Arial"/>
          <w:lang w:val="en-GB"/>
        </w:rPr>
      </w:pPr>
      <w:r w:rsidRPr="003969EA">
        <w:rPr>
          <w:rFonts w:cs="Arial"/>
          <w:lang w:val="en-GB"/>
        </w:rPr>
        <w:lastRenderedPageBreak/>
        <w:t>Sensitivity and specificity, PPV and NPV in distinguishing responders from non-responders with CECT imaging after 2 cycles of NAIC and a comparison with FDG-PET/CT results.</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Conventional Pre-treatment staging</w:t>
      </w:r>
    </w:p>
    <w:p w:rsidR="00F61680" w:rsidRPr="003969EA" w:rsidRDefault="00F61680" w:rsidP="00F61680">
      <w:pPr>
        <w:spacing w:after="0" w:line="480" w:lineRule="auto"/>
        <w:contextualSpacing/>
        <w:jc w:val="both"/>
        <w:rPr>
          <w:rFonts w:cs="Arial"/>
          <w:lang w:val="en-GB"/>
        </w:rPr>
      </w:pPr>
      <w:r w:rsidRPr="003969EA">
        <w:rPr>
          <w:rFonts w:cs="Arial"/>
          <w:lang w:val="en-GB"/>
        </w:rPr>
        <w:t>In our institutional bladder cancer clinic, patients will be staged by physical examination, cystoscopy and laboratory studies. CECT scans of the abdomen and chest will be evaluated by an experienced radiologist. Lymph nodes &gt;10mm in maximum short axis diameter are regarded as enlarged on CECT imaging. Tumour stage is determined according to the criteria of the</w:t>
      </w:r>
      <w:r w:rsidRPr="003969EA">
        <w:rPr>
          <w:rFonts w:cs="Arial"/>
        </w:rPr>
        <w:t xml:space="preserve"> Union for International Cancer Control (UICC)</w:t>
      </w:r>
      <w:r w:rsidRPr="003969EA">
        <w:rPr>
          <w:rFonts w:cs="Arial"/>
          <w:lang w:val="en-GB"/>
        </w:rPr>
        <w:t xml:space="preserve">(7). FDG-PET/CT imaging consist of a primary scan including oral </w:t>
      </w:r>
      <w:proofErr w:type="spellStart"/>
      <w:r w:rsidRPr="003969EA">
        <w:rPr>
          <w:rFonts w:cs="Arial"/>
          <w:lang w:val="en-GB"/>
        </w:rPr>
        <w:t>prehydration</w:t>
      </w:r>
      <w:proofErr w:type="spellEnd"/>
      <w:r w:rsidRPr="003969EA">
        <w:rPr>
          <w:rFonts w:cs="Arial"/>
          <w:lang w:val="en-GB"/>
        </w:rPr>
        <w:t xml:space="preserve"> and fasting for at least 6h, followed by administration of 190-240 </w:t>
      </w:r>
      <w:proofErr w:type="spellStart"/>
      <w:r w:rsidRPr="003969EA">
        <w:rPr>
          <w:rFonts w:cs="Arial"/>
          <w:lang w:val="en-GB"/>
        </w:rPr>
        <w:t>MBq</w:t>
      </w:r>
      <w:proofErr w:type="spellEnd"/>
      <w:r w:rsidRPr="003969EA">
        <w:rPr>
          <w:rFonts w:cs="Arial"/>
          <w:lang w:val="en-GB"/>
        </w:rPr>
        <w:t xml:space="preserve"> FDG with imaging from head till upper thigh after one hour and delayed pelvic imaging (20mg furosemide injection after 90minutes, 500ml oral hydration and frequent voiding, imaging after 3 h). Evaluation will be done qualitatively by an experienced nuclear medicine physician, as part of standard clinical practice. FDG-avid foci in a non-physiological distribution are determined visually. An additional lesion is classified as a suspect nodal or distant lesion outside the bladder or as a new primary proliferative lesion. Suspect nodal lesions will be evaluated using FNA. Tumour FDG uptake will be quantified using the maximum standardized uptake value (</w:t>
      </w:r>
      <w:proofErr w:type="spellStart"/>
      <w:r w:rsidRPr="003969EA">
        <w:rPr>
          <w:rFonts w:cs="Arial"/>
          <w:lang w:val="en-GB"/>
        </w:rPr>
        <w:t>SUVmax</w:t>
      </w:r>
      <w:proofErr w:type="spellEnd"/>
      <w:r w:rsidRPr="003969EA">
        <w:rPr>
          <w:rFonts w:cs="Arial"/>
          <w:lang w:val="en-GB"/>
        </w:rPr>
        <w:t>).</w:t>
      </w:r>
    </w:p>
    <w:p w:rsidR="00F61680" w:rsidRPr="003969EA" w:rsidRDefault="00F61680" w:rsidP="00F61680">
      <w:pPr>
        <w:spacing w:after="0" w:line="480" w:lineRule="auto"/>
        <w:contextualSpacing/>
        <w:jc w:val="both"/>
        <w:rPr>
          <w:rFonts w:cs="Arial"/>
          <w:u w:val="single"/>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Response evaluation using CECT</w:t>
      </w:r>
    </w:p>
    <w:p w:rsidR="00F61680" w:rsidRPr="003969EA" w:rsidRDefault="00F61680" w:rsidP="00F61680">
      <w:pPr>
        <w:spacing w:after="0" w:line="480" w:lineRule="auto"/>
        <w:contextualSpacing/>
        <w:jc w:val="both"/>
        <w:rPr>
          <w:rFonts w:cs="Arial"/>
          <w:u w:val="single"/>
          <w:lang w:val="en-GB"/>
        </w:rPr>
      </w:pPr>
      <w:r w:rsidRPr="003969EA">
        <w:rPr>
          <w:rFonts w:cs="Arial"/>
          <w:lang w:val="en-GB"/>
        </w:rPr>
        <w:t xml:space="preserve">For this study CECT images after 2 cycles of NAIC will be revised by a dedicated radiologist, blinded for PET/CT results. The treatment effect is assessed according to Response Evaluation Criteria In Solid Tumours (RECIST 1.1). </w:t>
      </w:r>
    </w:p>
    <w:p w:rsidR="00F61680" w:rsidRPr="003969EA" w:rsidRDefault="00F61680" w:rsidP="00F61680">
      <w:pPr>
        <w:spacing w:after="0" w:line="480" w:lineRule="auto"/>
        <w:contextualSpacing/>
        <w:jc w:val="both"/>
        <w:rPr>
          <w:rFonts w:cs="Arial"/>
          <w:u w:val="single"/>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Metabolic response evaluation using FDG PET/CT</w:t>
      </w:r>
    </w:p>
    <w:p w:rsidR="00F61680" w:rsidRPr="003969EA" w:rsidRDefault="00F61680" w:rsidP="00F61680">
      <w:pPr>
        <w:spacing w:after="0" w:line="480" w:lineRule="auto"/>
        <w:contextualSpacing/>
        <w:jc w:val="both"/>
        <w:rPr>
          <w:rFonts w:cs="Arial"/>
          <w:lang w:val="en-GB"/>
        </w:rPr>
      </w:pPr>
      <w:r w:rsidRPr="003969EA">
        <w:rPr>
          <w:rFonts w:cs="Arial"/>
          <w:lang w:val="en-GB"/>
        </w:rPr>
        <w:lastRenderedPageBreak/>
        <w:t xml:space="preserve">PET/CT imaging after 2 cycles of NAIC will be performed as described above for pre-treatment staging. Response evaluation for this study will be done qualitatively and quantitatively by an experienced nuclear medicine physician, blinded for CECT results. Tumour FDG uptake will be quantified using </w:t>
      </w:r>
      <w:proofErr w:type="spellStart"/>
      <w:r w:rsidRPr="003969EA">
        <w:rPr>
          <w:rFonts w:cs="Arial"/>
          <w:lang w:val="en-GB"/>
        </w:rPr>
        <w:t>SUVmax</w:t>
      </w:r>
      <w:proofErr w:type="spellEnd"/>
      <w:r w:rsidRPr="003969EA">
        <w:rPr>
          <w:rFonts w:cs="Arial"/>
          <w:lang w:val="en-GB"/>
        </w:rPr>
        <w:t>. Retrospectively, treatment effect will be determined by the relative reduction of various metabolic parameters (</w:t>
      </w:r>
      <w:proofErr w:type="spellStart"/>
      <w:r w:rsidRPr="003969EA">
        <w:rPr>
          <w:rFonts w:cs="Arial"/>
          <w:lang w:val="en-GB"/>
        </w:rPr>
        <w:t>SUVmax</w:t>
      </w:r>
      <w:proofErr w:type="spellEnd"/>
      <w:r w:rsidRPr="003969EA">
        <w:rPr>
          <w:rFonts w:cs="Arial"/>
          <w:lang w:val="en-GB"/>
        </w:rPr>
        <w:t xml:space="preserve">, metabolic tumour volume (MTV) and total lesion glycolysis (TLG)). </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Statistical analysis</w:t>
      </w:r>
    </w:p>
    <w:p w:rsidR="00F61680" w:rsidRPr="003969EA" w:rsidRDefault="00F61680" w:rsidP="00F61680">
      <w:pPr>
        <w:spacing w:after="0" w:line="480" w:lineRule="auto"/>
        <w:contextualSpacing/>
        <w:jc w:val="both"/>
        <w:rPr>
          <w:rFonts w:cs="Arial"/>
          <w:lang w:val="en-GB"/>
        </w:rPr>
      </w:pPr>
      <w:r w:rsidRPr="003969EA">
        <w:rPr>
          <w:rFonts w:cs="Arial"/>
          <w:lang w:val="en-GB"/>
        </w:rPr>
        <w:t xml:space="preserve">Specificity, sensitivity, positive predictive value (PPV) and negative predictive value (NPV) will be calculated for PET parameters and compared to response CECT response evaluation with the (two-sided) </w:t>
      </w:r>
      <w:proofErr w:type="spellStart"/>
      <w:r w:rsidRPr="003969EA">
        <w:rPr>
          <w:rFonts w:cs="Arial"/>
          <w:lang w:val="en-GB"/>
        </w:rPr>
        <w:t>McNemar’s</w:t>
      </w:r>
      <w:proofErr w:type="spellEnd"/>
      <w:r w:rsidRPr="003969EA">
        <w:rPr>
          <w:rFonts w:cs="Arial"/>
          <w:lang w:val="en-GB"/>
        </w:rPr>
        <w:t xml:space="preserve"> test.</w:t>
      </w:r>
    </w:p>
    <w:p w:rsidR="00F61680" w:rsidRPr="003969EA" w:rsidRDefault="00F61680" w:rsidP="00F61680">
      <w:pPr>
        <w:spacing w:after="0" w:line="480" w:lineRule="auto"/>
        <w:contextualSpacing/>
        <w:jc w:val="both"/>
        <w:rPr>
          <w:rFonts w:cs="Arial"/>
          <w:lang w:val="en-GB"/>
        </w:rPr>
      </w:pPr>
    </w:p>
    <w:p w:rsidR="00F61680" w:rsidRPr="003969EA" w:rsidRDefault="00F61680" w:rsidP="00F61680">
      <w:pPr>
        <w:spacing w:after="0" w:line="480" w:lineRule="auto"/>
        <w:contextualSpacing/>
        <w:jc w:val="both"/>
        <w:rPr>
          <w:rFonts w:cs="Arial"/>
          <w:b/>
          <w:lang w:val="en-GB"/>
        </w:rPr>
      </w:pPr>
      <w:r w:rsidRPr="003969EA">
        <w:rPr>
          <w:rFonts w:cs="Arial"/>
          <w:b/>
          <w:lang w:val="en-GB"/>
        </w:rPr>
        <w:t>Sample size determination</w:t>
      </w:r>
    </w:p>
    <w:p w:rsidR="00F61680" w:rsidRPr="003969EA" w:rsidRDefault="00F61680" w:rsidP="00F61680">
      <w:pPr>
        <w:spacing w:after="0" w:line="480" w:lineRule="auto"/>
        <w:contextualSpacing/>
        <w:jc w:val="both"/>
        <w:rPr>
          <w:rFonts w:cs="Arial"/>
        </w:rPr>
      </w:pPr>
      <w:r w:rsidRPr="003969EA">
        <w:rPr>
          <w:rFonts w:cs="Arial"/>
        </w:rPr>
        <w:t xml:space="preserve">Sample size was calculated with the (two-sided) </w:t>
      </w:r>
      <w:proofErr w:type="spellStart"/>
      <w:r w:rsidRPr="003969EA">
        <w:rPr>
          <w:rFonts w:cs="Arial"/>
        </w:rPr>
        <w:t>McNemar’s</w:t>
      </w:r>
      <w:proofErr w:type="spellEnd"/>
      <w:r w:rsidRPr="003969EA">
        <w:rPr>
          <w:rFonts w:cs="Arial"/>
        </w:rPr>
        <w:t xml:space="preserve"> test for equality of paired proportions with significance level </w:t>
      </w:r>
      <w:r w:rsidRPr="003969EA">
        <w:rPr>
          <w:rFonts w:cstheme="minorHAnsi"/>
        </w:rPr>
        <w:t>α</w:t>
      </w:r>
      <w:r w:rsidRPr="003969EA">
        <w:rPr>
          <w:rFonts w:cs="Arial"/>
        </w:rPr>
        <w:t>=0.05, difference in proportions (</w:t>
      </w:r>
      <w:r w:rsidRPr="003969EA">
        <w:rPr>
          <w:rFonts w:cstheme="minorHAnsi"/>
        </w:rPr>
        <w:t>δ</w:t>
      </w:r>
      <w:r w:rsidRPr="003969EA">
        <w:rPr>
          <w:rFonts w:cs="Arial"/>
        </w:rPr>
        <w:t>=|</w:t>
      </w:r>
      <w:r w:rsidRPr="003969EA">
        <w:rPr>
          <w:rFonts w:cstheme="minorHAnsi"/>
        </w:rPr>
        <w:t>π</w:t>
      </w:r>
      <w:r w:rsidRPr="003969EA">
        <w:rPr>
          <w:rFonts w:cs="Arial"/>
          <w:vertAlign w:val="subscript"/>
        </w:rPr>
        <w:t>1</w:t>
      </w:r>
      <w:r w:rsidRPr="003969EA">
        <w:rPr>
          <w:rFonts w:cs="Arial"/>
        </w:rPr>
        <w:t xml:space="preserve">- </w:t>
      </w:r>
      <w:r w:rsidRPr="003969EA">
        <w:rPr>
          <w:rFonts w:cstheme="minorHAnsi"/>
        </w:rPr>
        <w:t>π</w:t>
      </w:r>
      <w:r w:rsidRPr="003969EA">
        <w:rPr>
          <w:rFonts w:cs="Arial"/>
          <w:vertAlign w:val="subscript"/>
        </w:rPr>
        <w:t>2</w:t>
      </w:r>
      <w:r w:rsidRPr="003969EA">
        <w:rPr>
          <w:rFonts w:cs="Arial"/>
        </w:rPr>
        <w:t>|)=0.148, proportion of discordant parts (</w:t>
      </w:r>
      <w:r w:rsidRPr="003969EA">
        <w:rPr>
          <w:rFonts w:cstheme="minorHAnsi"/>
        </w:rPr>
        <w:t>η</w:t>
      </w:r>
      <w:r w:rsidRPr="003969EA">
        <w:rPr>
          <w:rFonts w:cs="Arial"/>
        </w:rPr>
        <w:t>=</w:t>
      </w:r>
      <w:r w:rsidRPr="003969EA">
        <w:rPr>
          <w:rFonts w:cstheme="minorHAnsi"/>
        </w:rPr>
        <w:t>π</w:t>
      </w:r>
      <w:r w:rsidRPr="003969EA">
        <w:rPr>
          <w:rFonts w:cs="Arial"/>
          <w:vertAlign w:val="subscript"/>
        </w:rPr>
        <w:t>10</w:t>
      </w:r>
      <w:r w:rsidRPr="003969EA">
        <w:rPr>
          <w:rFonts w:cs="Arial"/>
        </w:rPr>
        <w:t>+</w:t>
      </w:r>
      <w:r w:rsidRPr="003969EA">
        <w:rPr>
          <w:rFonts w:cstheme="minorHAnsi"/>
        </w:rPr>
        <w:t>π</w:t>
      </w:r>
      <w:r w:rsidRPr="003969EA">
        <w:rPr>
          <w:rFonts w:cs="Arial"/>
          <w:vertAlign w:val="subscript"/>
        </w:rPr>
        <w:t>01</w:t>
      </w:r>
      <w:r w:rsidRPr="003969EA">
        <w:rPr>
          <w:rFonts w:cs="Arial"/>
        </w:rPr>
        <w:t xml:space="preserve">) = 0.168, yielding n=48 for the number of pairs (FDG-PET/CT and CECT). </w:t>
      </w:r>
    </w:p>
    <w:p w:rsidR="00F61680" w:rsidRPr="003969EA" w:rsidRDefault="00F61680" w:rsidP="00F61680">
      <w:pPr>
        <w:spacing w:after="0" w:line="480" w:lineRule="auto"/>
        <w:contextualSpacing/>
        <w:jc w:val="both"/>
        <w:rPr>
          <w:rFonts w:cs="Arial"/>
          <w:u w:val="single"/>
        </w:rPr>
      </w:pPr>
    </w:p>
    <w:p w:rsidR="00F61680" w:rsidRPr="003969EA" w:rsidRDefault="00F61680" w:rsidP="00F61680">
      <w:pPr>
        <w:spacing w:after="0" w:line="480" w:lineRule="auto"/>
        <w:contextualSpacing/>
        <w:jc w:val="both"/>
        <w:rPr>
          <w:rFonts w:cs="Arial"/>
          <w:b/>
        </w:rPr>
      </w:pPr>
      <w:r w:rsidRPr="003969EA">
        <w:rPr>
          <w:rFonts w:cs="Arial"/>
          <w:b/>
        </w:rPr>
        <w:t>References</w:t>
      </w:r>
    </w:p>
    <w:p w:rsidR="00F61680" w:rsidRPr="003969EA" w:rsidRDefault="00F61680" w:rsidP="00F61680">
      <w:pPr>
        <w:numPr>
          <w:ilvl w:val="0"/>
          <w:numId w:val="1"/>
        </w:numPr>
        <w:spacing w:after="0" w:line="480" w:lineRule="auto"/>
        <w:contextualSpacing/>
        <w:jc w:val="both"/>
        <w:rPr>
          <w:rFonts w:cs="Arial"/>
        </w:rPr>
      </w:pPr>
      <w:proofErr w:type="spellStart"/>
      <w:r w:rsidRPr="003969EA">
        <w:rPr>
          <w:rFonts w:cs="Arial"/>
          <w:lang w:val="en-GB"/>
        </w:rPr>
        <w:t>Witjes</w:t>
      </w:r>
      <w:proofErr w:type="spellEnd"/>
      <w:r w:rsidRPr="003969EA">
        <w:rPr>
          <w:rFonts w:cs="Arial"/>
          <w:lang w:val="en-GB"/>
        </w:rPr>
        <w:t xml:space="preserve"> et al. EAU Guidelines on Muscle-invasive and Metastatic Bladder Cancer: Summary of the 2013 Guidelines. </w:t>
      </w:r>
      <w:proofErr w:type="spellStart"/>
      <w:r w:rsidRPr="003969EA">
        <w:rPr>
          <w:rFonts w:cs="Arial"/>
          <w:lang w:val="en-GB"/>
        </w:rPr>
        <w:t>Eur</w:t>
      </w:r>
      <w:proofErr w:type="spellEnd"/>
      <w:r w:rsidRPr="003969EA">
        <w:rPr>
          <w:rFonts w:cs="Arial"/>
          <w:lang w:val="en-GB"/>
        </w:rPr>
        <w:t xml:space="preserve"> </w:t>
      </w:r>
      <w:proofErr w:type="spellStart"/>
      <w:r w:rsidRPr="003969EA">
        <w:rPr>
          <w:rFonts w:cs="Arial"/>
          <w:lang w:val="en-GB"/>
        </w:rPr>
        <w:t>Urol</w:t>
      </w:r>
      <w:proofErr w:type="spellEnd"/>
      <w:r w:rsidRPr="003969EA">
        <w:rPr>
          <w:rFonts w:cs="Arial"/>
          <w:lang w:val="en-GB"/>
        </w:rPr>
        <w:t xml:space="preserve"> 2014; 65: 778-92</w:t>
      </w:r>
    </w:p>
    <w:p w:rsidR="00F61680" w:rsidRPr="003969EA" w:rsidRDefault="00F61680" w:rsidP="00F61680">
      <w:pPr>
        <w:numPr>
          <w:ilvl w:val="0"/>
          <w:numId w:val="1"/>
        </w:numPr>
        <w:spacing w:after="0" w:line="480" w:lineRule="auto"/>
        <w:contextualSpacing/>
        <w:jc w:val="both"/>
        <w:rPr>
          <w:rFonts w:cs="Arial"/>
        </w:rPr>
      </w:pPr>
      <w:r w:rsidRPr="003969EA">
        <w:rPr>
          <w:rFonts w:cs="Arial"/>
          <w:lang w:val="en-GB"/>
        </w:rPr>
        <w:t xml:space="preserve">Grossman et al. Neoadjuvant chemotherapy plus cystectomy compared with cystectomy alone for locally advanced bladder cancer. </w:t>
      </w:r>
      <w:r w:rsidRPr="003969EA">
        <w:rPr>
          <w:rFonts w:cs="Arial"/>
        </w:rPr>
        <w:t xml:space="preserve">New </w:t>
      </w:r>
      <w:proofErr w:type="spellStart"/>
      <w:r w:rsidRPr="003969EA">
        <w:rPr>
          <w:rFonts w:cs="Arial"/>
        </w:rPr>
        <w:t>Eng</w:t>
      </w:r>
      <w:proofErr w:type="spellEnd"/>
      <w:r w:rsidRPr="003969EA">
        <w:rPr>
          <w:rFonts w:cs="Arial"/>
        </w:rPr>
        <w:t xml:space="preserve"> J Med. 2003; 349: 859-66.</w:t>
      </w:r>
    </w:p>
    <w:p w:rsidR="00F61680" w:rsidRPr="003969EA" w:rsidRDefault="0090083E" w:rsidP="00F61680">
      <w:pPr>
        <w:numPr>
          <w:ilvl w:val="0"/>
          <w:numId w:val="1"/>
        </w:numPr>
        <w:spacing w:after="0" w:line="480" w:lineRule="auto"/>
        <w:contextualSpacing/>
        <w:jc w:val="both"/>
        <w:rPr>
          <w:rFonts w:cs="Arial"/>
        </w:rPr>
      </w:pPr>
      <w:hyperlink r:id="rId6" w:history="1">
        <w:r w:rsidR="00F61680" w:rsidRPr="003969EA">
          <w:rPr>
            <w:rStyle w:val="Hyperlink"/>
            <w:rFonts w:cs="Arial"/>
            <w:color w:val="000000" w:themeColor="text1"/>
            <w:u w:val="none"/>
            <w:lang w:val="en-GB"/>
          </w:rPr>
          <w:t>Advanced Bladder Cancer Meta-analysis Collaboration</w:t>
        </w:r>
      </w:hyperlink>
      <w:r w:rsidR="00F61680" w:rsidRPr="003969EA">
        <w:rPr>
          <w:rFonts w:cs="Arial"/>
          <w:color w:val="000000" w:themeColor="text1"/>
          <w:lang w:val="en-GB"/>
        </w:rPr>
        <w:t xml:space="preserve">. </w:t>
      </w:r>
      <w:r w:rsidR="00F61680" w:rsidRPr="003969EA">
        <w:rPr>
          <w:rFonts w:cs="Arial"/>
          <w:lang w:val="en-GB"/>
        </w:rPr>
        <w:t xml:space="preserve">Neoadjuvant chemotherapy in invasive bladder cancer: a systematic review and meta-analysis. </w:t>
      </w:r>
      <w:hyperlink r:id="rId7" w:anchor="#" w:tooltip="Lancet." w:history="1">
        <w:r w:rsidR="00F61680" w:rsidRPr="003969EA">
          <w:rPr>
            <w:rStyle w:val="Hyperlink"/>
            <w:rFonts w:cs="Arial"/>
            <w:color w:val="000000" w:themeColor="text1"/>
            <w:u w:val="none"/>
          </w:rPr>
          <w:t>Lancet.</w:t>
        </w:r>
      </w:hyperlink>
      <w:r w:rsidR="00F61680" w:rsidRPr="003969EA">
        <w:rPr>
          <w:rFonts w:cs="Arial"/>
          <w:color w:val="000000" w:themeColor="text1"/>
        </w:rPr>
        <w:t xml:space="preserve"> </w:t>
      </w:r>
      <w:r w:rsidR="00F61680" w:rsidRPr="003969EA">
        <w:rPr>
          <w:rFonts w:cs="Arial"/>
        </w:rPr>
        <w:t>2003 Jun 7;361(9373):1927-34</w:t>
      </w:r>
    </w:p>
    <w:p w:rsidR="00F61680" w:rsidRPr="003969EA" w:rsidRDefault="00F61680" w:rsidP="00F61680">
      <w:pPr>
        <w:numPr>
          <w:ilvl w:val="0"/>
          <w:numId w:val="1"/>
        </w:numPr>
        <w:spacing w:after="0" w:line="480" w:lineRule="auto"/>
        <w:contextualSpacing/>
        <w:jc w:val="both"/>
        <w:rPr>
          <w:rFonts w:cs="Arial"/>
        </w:rPr>
      </w:pPr>
      <w:proofErr w:type="spellStart"/>
      <w:r w:rsidRPr="003969EA">
        <w:rPr>
          <w:rFonts w:cs="Arial"/>
          <w:lang w:val="en-GB"/>
        </w:rPr>
        <w:lastRenderedPageBreak/>
        <w:t>Letocha</w:t>
      </w:r>
      <w:proofErr w:type="spellEnd"/>
      <w:r w:rsidRPr="003969EA">
        <w:rPr>
          <w:rFonts w:cs="Arial"/>
          <w:lang w:val="en-GB"/>
        </w:rPr>
        <w:t xml:space="preserve"> et al. Positron emission tomography with L-methyl-11C-methionine in the monitoring of therapy response in muscle invasive transitional cell carcinoma of the urinary bladder. </w:t>
      </w:r>
      <w:r w:rsidRPr="003969EA">
        <w:rPr>
          <w:rFonts w:cs="Arial"/>
        </w:rPr>
        <w:t xml:space="preserve">Br J </w:t>
      </w:r>
      <w:proofErr w:type="spellStart"/>
      <w:r w:rsidRPr="003969EA">
        <w:rPr>
          <w:rFonts w:cs="Arial"/>
        </w:rPr>
        <w:t>Urol</w:t>
      </w:r>
      <w:proofErr w:type="spellEnd"/>
      <w:r w:rsidRPr="003969EA">
        <w:rPr>
          <w:rFonts w:cs="Arial"/>
        </w:rPr>
        <w:t xml:space="preserve"> 1994 Dec;74(6):767-74.</w:t>
      </w:r>
    </w:p>
    <w:p w:rsidR="00F61680" w:rsidRPr="003969EA" w:rsidRDefault="00F61680" w:rsidP="00F61680">
      <w:pPr>
        <w:numPr>
          <w:ilvl w:val="0"/>
          <w:numId w:val="1"/>
        </w:numPr>
        <w:spacing w:after="0" w:line="480" w:lineRule="auto"/>
        <w:contextualSpacing/>
        <w:jc w:val="both"/>
        <w:rPr>
          <w:rFonts w:cs="Arial"/>
          <w:lang w:val="en-GB"/>
        </w:rPr>
      </w:pPr>
      <w:r w:rsidRPr="003969EA">
        <w:rPr>
          <w:rFonts w:cs="Arial"/>
          <w:lang w:val="en-GB"/>
        </w:rPr>
        <w:t xml:space="preserve">Mertens et al. FDG-positron emission tomography/computerized tomography for monitoring the response of pelvic lymph node metastasis to neoadjuvant chemotherapy for bladder cancer.  J </w:t>
      </w:r>
      <w:proofErr w:type="spellStart"/>
      <w:r w:rsidRPr="003969EA">
        <w:rPr>
          <w:rFonts w:cs="Arial"/>
          <w:lang w:val="en-GB"/>
        </w:rPr>
        <w:t>Urol</w:t>
      </w:r>
      <w:proofErr w:type="spellEnd"/>
      <w:r w:rsidRPr="003969EA">
        <w:rPr>
          <w:rFonts w:cs="Arial"/>
          <w:lang w:val="en-GB"/>
        </w:rPr>
        <w:t xml:space="preserve"> 2013; 189: 1687-91</w:t>
      </w:r>
    </w:p>
    <w:p w:rsidR="00F61680" w:rsidRPr="003969EA" w:rsidRDefault="00F61680" w:rsidP="00F61680">
      <w:pPr>
        <w:numPr>
          <w:ilvl w:val="0"/>
          <w:numId w:val="1"/>
        </w:numPr>
        <w:spacing w:after="0" w:line="480" w:lineRule="auto"/>
        <w:contextualSpacing/>
        <w:jc w:val="both"/>
        <w:rPr>
          <w:rFonts w:cs="Arial"/>
          <w:lang w:val="en-GB"/>
        </w:rPr>
      </w:pPr>
      <w:r w:rsidRPr="003969EA">
        <w:rPr>
          <w:rFonts w:cs="Arial"/>
          <w:lang w:val="en-GB"/>
        </w:rPr>
        <w:t xml:space="preserve">Mertens et al. Detecting primary bladder cancer using delayed (18)F-2-fluoro-2-deoxy-D-glucose-positron emission tomography/computed tomography imaging after forced diuresis. Indian J </w:t>
      </w:r>
      <w:proofErr w:type="spellStart"/>
      <w:r w:rsidRPr="003969EA">
        <w:rPr>
          <w:rFonts w:cs="Arial"/>
          <w:lang w:val="en-GB"/>
        </w:rPr>
        <w:t>Nucl</w:t>
      </w:r>
      <w:proofErr w:type="spellEnd"/>
      <w:r w:rsidRPr="003969EA">
        <w:rPr>
          <w:rFonts w:cs="Arial"/>
          <w:lang w:val="en-GB"/>
        </w:rPr>
        <w:t xml:space="preserve"> Med. 2012;27(3):145-50.</w:t>
      </w:r>
    </w:p>
    <w:p w:rsidR="00F61680" w:rsidRPr="003969EA" w:rsidRDefault="00F61680" w:rsidP="00F61680">
      <w:pPr>
        <w:numPr>
          <w:ilvl w:val="0"/>
          <w:numId w:val="1"/>
        </w:numPr>
        <w:spacing w:after="0" w:line="480" w:lineRule="auto"/>
        <w:contextualSpacing/>
        <w:jc w:val="both"/>
        <w:rPr>
          <w:rFonts w:cs="Arial"/>
          <w:lang w:val="en-GB"/>
        </w:rPr>
      </w:pPr>
      <w:proofErr w:type="spellStart"/>
      <w:r w:rsidRPr="003969EA">
        <w:rPr>
          <w:rFonts w:cs="Arial"/>
        </w:rPr>
        <w:t>Sobin</w:t>
      </w:r>
      <w:proofErr w:type="spellEnd"/>
      <w:r w:rsidRPr="003969EA">
        <w:rPr>
          <w:rFonts w:cs="Arial"/>
        </w:rPr>
        <w:t xml:space="preserve"> L, </w:t>
      </w:r>
      <w:proofErr w:type="spellStart"/>
      <w:r w:rsidRPr="003969EA">
        <w:rPr>
          <w:rFonts w:cs="Arial"/>
        </w:rPr>
        <w:t>Gospodarowicz</w:t>
      </w:r>
      <w:proofErr w:type="spellEnd"/>
      <w:r w:rsidRPr="003969EA">
        <w:rPr>
          <w:rFonts w:cs="Arial"/>
        </w:rPr>
        <w:t xml:space="preserve"> M, Wittekind C. TNM classification of malignant </w:t>
      </w:r>
      <w:proofErr w:type="spellStart"/>
      <w:r w:rsidRPr="003969EA">
        <w:rPr>
          <w:rFonts w:cs="Arial"/>
        </w:rPr>
        <w:t>tumours</w:t>
      </w:r>
      <w:proofErr w:type="spellEnd"/>
      <w:r w:rsidRPr="003969EA">
        <w:rPr>
          <w:rFonts w:cs="Arial"/>
        </w:rPr>
        <w:t>. Hoboken, New Jersey: Wiley-Blackwell; 2010.</w:t>
      </w:r>
    </w:p>
    <w:p w:rsidR="00F61680" w:rsidRDefault="00F61680"/>
    <w:sectPr w:rsidR="00F616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107F9"/>
    <w:multiLevelType w:val="hybridMultilevel"/>
    <w:tmpl w:val="A42A4C74"/>
    <w:lvl w:ilvl="0" w:tplc="8496F53E">
      <w:start w:val="1"/>
      <w:numFmt w:val="decimal"/>
      <w:lvlText w:val="%1."/>
      <w:lvlJc w:val="left"/>
      <w:pPr>
        <w:tabs>
          <w:tab w:val="num" w:pos="360"/>
        </w:tabs>
        <w:ind w:left="360" w:hanging="360"/>
      </w:pPr>
      <w:rPr>
        <w:rFonts w:ascii="Times New Roman" w:eastAsia="Times New Roman" w:hAnsi="Times New Roman" w:cs="Times New Roman"/>
        <w:sz w:val="24"/>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7BA66A4C"/>
    <w:multiLevelType w:val="hybridMultilevel"/>
    <w:tmpl w:val="E160BD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80"/>
    <w:rsid w:val="000D754C"/>
    <w:rsid w:val="001F51A2"/>
    <w:rsid w:val="00320EEE"/>
    <w:rsid w:val="003969EA"/>
    <w:rsid w:val="00450BCD"/>
    <w:rsid w:val="004D4C05"/>
    <w:rsid w:val="005602CC"/>
    <w:rsid w:val="005C06E3"/>
    <w:rsid w:val="0090083E"/>
    <w:rsid w:val="00A35637"/>
    <w:rsid w:val="00C212E2"/>
    <w:rsid w:val="00F61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B241F-9D1D-44BC-935C-7FDEC06D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61680"/>
    <w:pPr>
      <w:keepNext/>
      <w:keepLines/>
      <w:spacing w:after="0" w:line="480" w:lineRule="auto"/>
      <w:outlineLvl w:val="0"/>
    </w:pPr>
    <w:rPr>
      <w:rFonts w:asciiTheme="majorHAnsi" w:eastAsiaTheme="majorEastAsia" w:hAnsiTheme="majorHAnsi" w:cstheme="majorBidi"/>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680"/>
    <w:rPr>
      <w:rFonts w:asciiTheme="majorHAnsi" w:eastAsiaTheme="majorEastAsia" w:hAnsiTheme="majorHAnsi" w:cstheme="majorBidi"/>
      <w:b/>
      <w:bCs/>
      <w:sz w:val="28"/>
      <w:szCs w:val="28"/>
      <w:lang w:val="nl-NL"/>
    </w:rPr>
  </w:style>
  <w:style w:type="paragraph" w:styleId="Geenafstand">
    <w:name w:val="No Spacing"/>
    <w:uiPriority w:val="1"/>
    <w:qFormat/>
    <w:rsid w:val="00F61680"/>
    <w:pPr>
      <w:spacing w:after="0" w:line="240" w:lineRule="auto"/>
    </w:pPr>
    <w:rPr>
      <w:lang w:val="nl-NL"/>
    </w:rPr>
  </w:style>
  <w:style w:type="character" w:styleId="Hyperlink">
    <w:name w:val="Hyperlink"/>
    <w:basedOn w:val="Standaardalinea-lettertype"/>
    <w:uiPriority w:val="99"/>
    <w:unhideWhenUsed/>
    <w:rsid w:val="00F61680"/>
    <w:rPr>
      <w:color w:val="0563C1" w:themeColor="hyperlink"/>
      <w:u w:val="single"/>
    </w:rPr>
  </w:style>
  <w:style w:type="table" w:styleId="Tabelraster">
    <w:name w:val="Table Grid"/>
    <w:basedOn w:val="Standaardtabel"/>
    <w:uiPriority w:val="39"/>
    <w:rsid w:val="00320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1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term=lancet+2003%3B+361%3A1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Advanced%20Bladder%20Cancer%20Meta-analysis%20Collaboration%5BCorporate%20Author%5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2162</Words>
  <Characters>11894</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NKI-AVL</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s.einerhand</dc:creator>
  <cp:keywords/>
  <dc:description/>
  <cp:lastModifiedBy>Bas van Rhijn</cp:lastModifiedBy>
  <cp:revision>2</cp:revision>
  <dcterms:created xsi:type="dcterms:W3CDTF">2022-11-21T15:27:00Z</dcterms:created>
  <dcterms:modified xsi:type="dcterms:W3CDTF">2022-11-21T15:27:00Z</dcterms:modified>
</cp:coreProperties>
</file>