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8E1B" w14:textId="469D405F" w:rsidR="009C3172" w:rsidRPr="00BE2B57" w:rsidRDefault="00D94D3C" w:rsidP="009C3172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Table</w:t>
      </w:r>
      <w:r w:rsidR="009C3172">
        <w:rPr>
          <w:rFonts w:ascii="Arial" w:hAnsi="Arial" w:cs="Arial"/>
          <w:b/>
        </w:rPr>
        <w:t xml:space="preserve"> </w:t>
      </w:r>
      <w:r w:rsidR="00252C7A">
        <w:rPr>
          <w:rFonts w:ascii="Arial" w:hAnsi="Arial" w:cs="Arial"/>
          <w:b/>
        </w:rPr>
        <w:t>1</w:t>
      </w:r>
      <w:r w:rsidR="00173964">
        <w:rPr>
          <w:rFonts w:ascii="Arial" w:hAnsi="Arial" w:cs="Arial"/>
          <w:b/>
        </w:rPr>
        <w:t xml:space="preserve"> </w:t>
      </w:r>
      <w:r w:rsidR="009C3172">
        <w:rPr>
          <w:rFonts w:ascii="Arial" w:hAnsi="Arial" w:cs="Arial"/>
          <w:b/>
        </w:rPr>
        <w:t>– Observed to expected and standardized incidence ratios</w:t>
      </w:r>
      <w:r w:rsidR="009C3172" w:rsidRPr="00BE2B57">
        <w:rPr>
          <w:rFonts w:ascii="Arial" w:hAnsi="Arial" w:cs="Arial"/>
          <w:b/>
        </w:rPr>
        <w:t xml:space="preserve"> </w:t>
      </w:r>
      <w:r w:rsidR="009C3172">
        <w:rPr>
          <w:rFonts w:ascii="Arial" w:hAnsi="Arial" w:cs="Arial"/>
          <w:b/>
        </w:rPr>
        <w:t>of s</w:t>
      </w:r>
      <w:r w:rsidR="009C3172" w:rsidRPr="00BE2B57">
        <w:rPr>
          <w:rFonts w:ascii="Arial" w:eastAsia="Times New Roman" w:hAnsi="Arial" w:cs="Arial"/>
          <w:b/>
          <w:color w:val="000000"/>
        </w:rPr>
        <w:t xml:space="preserve">ynchronous and metachronous lung </w:t>
      </w:r>
      <w:r w:rsidR="009C3172">
        <w:rPr>
          <w:rFonts w:ascii="Arial" w:eastAsia="Times New Roman" w:hAnsi="Arial" w:cs="Arial"/>
          <w:b/>
          <w:color w:val="000000"/>
        </w:rPr>
        <w:t xml:space="preserve">cancers </w:t>
      </w:r>
      <w:r w:rsidR="009C3172" w:rsidRPr="00BE2B57">
        <w:rPr>
          <w:rFonts w:ascii="Arial" w:eastAsia="Times New Roman" w:hAnsi="Arial" w:cs="Arial"/>
          <w:b/>
          <w:color w:val="000000"/>
        </w:rPr>
        <w:t xml:space="preserve">diagnosed after </w:t>
      </w:r>
      <w:r w:rsidR="009C3172">
        <w:rPr>
          <w:rFonts w:ascii="Arial" w:eastAsia="Times New Roman" w:hAnsi="Arial" w:cs="Arial"/>
          <w:b/>
          <w:color w:val="000000"/>
        </w:rPr>
        <w:t xml:space="preserve">a </w:t>
      </w:r>
      <w:r w:rsidR="009C3172" w:rsidRPr="00BE2B57">
        <w:rPr>
          <w:rFonts w:ascii="Arial" w:eastAsia="Times New Roman" w:hAnsi="Arial" w:cs="Arial"/>
          <w:b/>
          <w:color w:val="000000"/>
        </w:rPr>
        <w:t>bladder cancer diagnosis</w:t>
      </w:r>
      <w:r>
        <w:rPr>
          <w:rFonts w:ascii="Arial" w:eastAsia="Times New Roman" w:hAnsi="Arial" w:cs="Arial"/>
          <w:b/>
          <w:color w:val="000000"/>
        </w:rPr>
        <w:t xml:space="preserve">, broken down by discrete time points </w:t>
      </w:r>
    </w:p>
    <w:tbl>
      <w:tblPr>
        <w:tblStyle w:val="PlainTable1"/>
        <w:tblW w:w="9265" w:type="dxa"/>
        <w:tblLayout w:type="fixed"/>
        <w:tblLook w:val="04A0" w:firstRow="1" w:lastRow="0" w:firstColumn="1" w:lastColumn="0" w:noHBand="0" w:noVBand="1"/>
      </w:tblPr>
      <w:tblGrid>
        <w:gridCol w:w="2515"/>
        <w:gridCol w:w="1350"/>
        <w:gridCol w:w="1890"/>
        <w:gridCol w:w="3510"/>
      </w:tblGrid>
      <w:tr w:rsidR="009C3172" w:rsidRPr="00BE2B57" w14:paraId="399F6CDD" w14:textId="77777777" w:rsidTr="00DA3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479C9247" w14:textId="77777777" w:rsidR="009C3172" w:rsidRPr="00BE2B57" w:rsidRDefault="009C3172" w:rsidP="00DA3E6C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5CA479FE" w14:textId="77777777" w:rsidR="009C3172" w:rsidRPr="00F137CC" w:rsidRDefault="009C3172" w:rsidP="00DA3E6C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F137CC">
              <w:rPr>
                <w:rFonts w:ascii="Arial" w:eastAsia="Times New Roman" w:hAnsi="Arial" w:cs="Arial"/>
                <w:color w:val="000000"/>
              </w:rPr>
              <w:t>Observed/Expected</w:t>
            </w:r>
          </w:p>
        </w:tc>
        <w:tc>
          <w:tcPr>
            <w:tcW w:w="1890" w:type="dxa"/>
            <w:noWrap/>
            <w:hideMark/>
          </w:tcPr>
          <w:p w14:paraId="2CE8FB10" w14:textId="77777777" w:rsidR="009C3172" w:rsidRPr="00F137CC" w:rsidRDefault="009C3172" w:rsidP="00DA3E6C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F137CC">
              <w:rPr>
                <w:rFonts w:ascii="Arial" w:eastAsia="Times New Roman" w:hAnsi="Arial" w:cs="Arial"/>
                <w:color w:val="000000"/>
              </w:rPr>
              <w:t>SIR (CI)</w:t>
            </w:r>
          </w:p>
        </w:tc>
        <w:tc>
          <w:tcPr>
            <w:tcW w:w="3510" w:type="dxa"/>
            <w:noWrap/>
            <w:hideMark/>
          </w:tcPr>
          <w:p w14:paraId="00F45CF9" w14:textId="77777777" w:rsidR="009C3172" w:rsidRPr="00F137CC" w:rsidRDefault="009C3172" w:rsidP="00DA3E6C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F137CC">
              <w:rPr>
                <w:rFonts w:ascii="Arial" w:eastAsia="Times New Roman" w:hAnsi="Arial" w:cs="Arial"/>
                <w:color w:val="000000"/>
              </w:rPr>
              <w:t>Excess risk (per 10,000 people)</w:t>
            </w:r>
          </w:p>
        </w:tc>
      </w:tr>
      <w:tr w:rsidR="009C3172" w:rsidRPr="00BE2B57" w14:paraId="6FD75133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34201ACD" w14:textId="77777777" w:rsidR="009C3172" w:rsidRPr="00BE2B57" w:rsidRDefault="009C3172" w:rsidP="00DA3E6C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b w:val="0"/>
                <w:i/>
                <w:color w:val="000000"/>
              </w:rPr>
              <w:t>Synchronous (&lt;</w:t>
            </w:r>
            <w:r>
              <w:rPr>
                <w:rFonts w:ascii="Arial" w:eastAsia="Times New Roman" w:hAnsi="Arial" w:cs="Arial"/>
                <w:b w:val="0"/>
                <w:i/>
                <w:color w:val="000000"/>
              </w:rPr>
              <w:t>6</w:t>
            </w:r>
            <w:r w:rsidRPr="00BE2B57">
              <w:rPr>
                <w:rFonts w:ascii="Arial" w:eastAsia="Times New Roman" w:hAnsi="Arial" w:cs="Arial"/>
                <w:b w:val="0"/>
                <w:i/>
                <w:color w:val="000000"/>
              </w:rPr>
              <w:t>m)</w:t>
            </w:r>
          </w:p>
        </w:tc>
        <w:tc>
          <w:tcPr>
            <w:tcW w:w="1350" w:type="dxa"/>
            <w:noWrap/>
            <w:hideMark/>
          </w:tcPr>
          <w:p w14:paraId="4EB0F879" w14:textId="77777777" w:rsidR="009C3172" w:rsidRPr="00BE2B57" w:rsidRDefault="009C3172" w:rsidP="00DA3E6C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7639172A" w14:textId="77777777" w:rsidR="009C3172" w:rsidRPr="00BE2B57" w:rsidRDefault="009C3172" w:rsidP="00DA3E6C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  <w:hideMark/>
          </w:tcPr>
          <w:p w14:paraId="073AA4F7" w14:textId="77777777" w:rsidR="009C3172" w:rsidRPr="00BE2B57" w:rsidRDefault="009C3172" w:rsidP="00DA3E6C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172" w:rsidRPr="00BE2B57" w14:paraId="6B124F31" w14:textId="77777777" w:rsidTr="00DA3E6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1688D98E" w14:textId="6287F588" w:rsidR="009C3172" w:rsidRPr="005D5117" w:rsidRDefault="005D5117" w:rsidP="00DA3E6C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b w:val="0"/>
                <w:bCs w:val="0"/>
                <w:i/>
                <w:color w:val="000000"/>
              </w:rPr>
              <w:t xml:space="preserve">&lt;1 month </w:t>
            </w:r>
          </w:p>
        </w:tc>
        <w:tc>
          <w:tcPr>
            <w:tcW w:w="1350" w:type="dxa"/>
            <w:noWrap/>
          </w:tcPr>
          <w:p w14:paraId="1B0EDD1A" w14:textId="77777777" w:rsidR="009C3172" w:rsidRPr="00BE2B57" w:rsidRDefault="009C3172" w:rsidP="00DA3E6C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2444F0FC" w14:textId="77777777" w:rsidR="009C3172" w:rsidRPr="00BE2B57" w:rsidRDefault="009C3172" w:rsidP="00DA3E6C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03DDB26A" w14:textId="77777777" w:rsidR="009C3172" w:rsidRPr="00BE2B57" w:rsidRDefault="009C3172" w:rsidP="00DA3E6C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3172" w:rsidRPr="00BE2B57" w14:paraId="3C7B09FE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3252F795" w14:textId="77777777" w:rsidR="009C3172" w:rsidRPr="00BE2B57" w:rsidRDefault="009C3172" w:rsidP="00DA3E6C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>NMIBC (N= 66071)</w:t>
            </w:r>
          </w:p>
        </w:tc>
        <w:tc>
          <w:tcPr>
            <w:tcW w:w="1350" w:type="dxa"/>
            <w:noWrap/>
            <w:hideMark/>
          </w:tcPr>
          <w:p w14:paraId="33F0D1E4" w14:textId="6CD9997D" w:rsidR="009C3172" w:rsidRPr="00BE2B57" w:rsidRDefault="005D5117" w:rsidP="00DA3E6C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</w:t>
            </w:r>
            <w:r w:rsidR="009C3172" w:rsidRPr="00BE2B57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890" w:type="dxa"/>
            <w:noWrap/>
            <w:hideMark/>
          </w:tcPr>
          <w:p w14:paraId="38B0EB99" w14:textId="5AEB4BEE" w:rsidR="009C3172" w:rsidRPr="00BE2B57" w:rsidRDefault="009C3172" w:rsidP="00DA3E6C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E2B57">
              <w:rPr>
                <w:rFonts w:ascii="Arial" w:eastAsia="Times New Roman" w:hAnsi="Arial" w:cs="Arial"/>
                <w:color w:val="000000"/>
              </w:rPr>
              <w:t>2.</w:t>
            </w:r>
            <w:r w:rsidR="005D5117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5D5117">
              <w:rPr>
                <w:rFonts w:ascii="Arial" w:eastAsia="Times New Roman" w:hAnsi="Arial" w:cs="Arial"/>
                <w:color w:val="000000"/>
              </w:rPr>
              <w:t>1.9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5D5117">
              <w:rPr>
                <w:rFonts w:ascii="Arial" w:eastAsia="Times New Roman" w:hAnsi="Arial" w:cs="Arial"/>
                <w:color w:val="000000"/>
              </w:rPr>
              <w:t>3.</w:t>
            </w:r>
            <w:proofErr w:type="gramStart"/>
            <w:r w:rsidR="005D5117">
              <w:rPr>
                <w:rFonts w:ascii="Arial" w:eastAsia="Times New Roman" w:hAnsi="Arial" w:cs="Arial"/>
                <w:color w:val="000000"/>
              </w:rPr>
              <w:t>5</w:t>
            </w:r>
            <w:r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  <w:hideMark/>
          </w:tcPr>
          <w:p w14:paraId="764B2944" w14:textId="2AFD6BDE" w:rsidR="009C3172" w:rsidRPr="00BE2B57" w:rsidRDefault="005D5117" w:rsidP="00DA3E6C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48</w:t>
            </w:r>
          </w:p>
        </w:tc>
      </w:tr>
      <w:tr w:rsidR="009C3172" w:rsidRPr="00BE2B57" w14:paraId="13920EAA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573B2B84" w14:textId="77777777" w:rsidR="009C3172" w:rsidRPr="00BE2B57" w:rsidRDefault="009C3172" w:rsidP="00DA3E6C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>MIBC (N=18879)</w:t>
            </w:r>
          </w:p>
        </w:tc>
        <w:tc>
          <w:tcPr>
            <w:tcW w:w="1350" w:type="dxa"/>
            <w:noWrap/>
            <w:hideMark/>
          </w:tcPr>
          <w:p w14:paraId="1401436B" w14:textId="53FE49D4" w:rsidR="009C3172" w:rsidRPr="00BE2B57" w:rsidRDefault="00224051" w:rsidP="00DA3E6C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  <w:r w:rsidR="009C3172" w:rsidRPr="00BE2B57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90" w:type="dxa"/>
            <w:noWrap/>
            <w:hideMark/>
          </w:tcPr>
          <w:p w14:paraId="0F8418E5" w14:textId="0E082319" w:rsidR="009C3172" w:rsidRPr="00BE2B57" w:rsidRDefault="00224051" w:rsidP="00DA3E6C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3.9</w:t>
            </w:r>
            <w:r w:rsidR="009C3172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2.3</w:t>
            </w:r>
            <w:r w:rsidR="009C3172" w:rsidRPr="00BE2B57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6.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9C3172"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  <w:hideMark/>
          </w:tcPr>
          <w:p w14:paraId="59BBC56F" w14:textId="12555BF2" w:rsidR="009C3172" w:rsidRPr="00BE2B57" w:rsidRDefault="00224051" w:rsidP="00DA3E6C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</w:t>
            </w:r>
          </w:p>
        </w:tc>
      </w:tr>
      <w:tr w:rsidR="009C3172" w:rsidRPr="00BE2B57" w14:paraId="3314DBEA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0CA9A6A1" w14:textId="77777777" w:rsidR="009C3172" w:rsidRPr="00BE2B57" w:rsidRDefault="009C3172" w:rsidP="00DA3E6C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1350" w:type="dxa"/>
            <w:noWrap/>
          </w:tcPr>
          <w:p w14:paraId="636A2D34" w14:textId="77777777" w:rsidR="009C3172" w:rsidRPr="00BE2B57" w:rsidRDefault="009C3172" w:rsidP="00DA3E6C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7B54FF00" w14:textId="77777777" w:rsidR="009C3172" w:rsidRDefault="009C3172" w:rsidP="00DA3E6C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06C79E69" w14:textId="77777777" w:rsidR="009C3172" w:rsidRPr="00BE2B57" w:rsidRDefault="009C3172" w:rsidP="00DA3E6C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D5117" w:rsidRPr="00BE2B57" w14:paraId="47267158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42457B92" w14:textId="57C0E5B5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b w:val="0"/>
                <w:bCs w:val="0"/>
                <w:i/>
                <w:color w:val="000000"/>
              </w:rPr>
              <w:t xml:space="preserve">1-3 months </w:t>
            </w:r>
          </w:p>
        </w:tc>
        <w:tc>
          <w:tcPr>
            <w:tcW w:w="1350" w:type="dxa"/>
            <w:noWrap/>
          </w:tcPr>
          <w:p w14:paraId="7EA26887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3790F0BD" w14:textId="77777777" w:rsidR="005D511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4E705980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D5117" w:rsidRPr="00BE2B57" w14:paraId="5639BFF8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23661B82" w14:textId="13C18645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 xml:space="preserve">NMIBC </w:t>
            </w:r>
          </w:p>
        </w:tc>
        <w:tc>
          <w:tcPr>
            <w:tcW w:w="1350" w:type="dxa"/>
            <w:noWrap/>
          </w:tcPr>
          <w:p w14:paraId="1F3A0F63" w14:textId="37975806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148</w:t>
            </w:r>
            <w:r w:rsidRPr="00BE2B57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890" w:type="dxa"/>
            <w:noWrap/>
          </w:tcPr>
          <w:p w14:paraId="116D158B" w14:textId="3728C6CA" w:rsidR="005D511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3.1 (2.7-3.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7</w:t>
            </w:r>
            <w:r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</w:tcPr>
          <w:p w14:paraId="20E04167" w14:textId="037C3BF8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63</w:t>
            </w:r>
          </w:p>
        </w:tc>
      </w:tr>
      <w:tr w:rsidR="005D5117" w:rsidRPr="00BE2B57" w14:paraId="22BFE24C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4D9E21DC" w14:textId="705AFE1C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>MIBC</w:t>
            </w:r>
          </w:p>
        </w:tc>
        <w:tc>
          <w:tcPr>
            <w:tcW w:w="1350" w:type="dxa"/>
            <w:noWrap/>
          </w:tcPr>
          <w:p w14:paraId="4685D67A" w14:textId="3E91E027" w:rsidR="005D5117" w:rsidRPr="00BE2B57" w:rsidRDefault="00224051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91</w:t>
            </w:r>
            <w:r w:rsidR="005D5117" w:rsidRPr="00BE2B57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890" w:type="dxa"/>
            <w:noWrap/>
          </w:tcPr>
          <w:p w14:paraId="1781F332" w14:textId="66F233BF" w:rsidR="005D5117" w:rsidRDefault="00224051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7.3</w:t>
            </w:r>
            <w:r w:rsidR="005D5117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5.9</w:t>
            </w:r>
            <w:r w:rsidR="005D5117" w:rsidRPr="00BE2B57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8.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9</w:t>
            </w:r>
            <w:r w:rsidR="005D5117"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</w:tcPr>
          <w:p w14:paraId="6F5B75B7" w14:textId="288C79E5" w:rsidR="005D5117" w:rsidRPr="00BE2B57" w:rsidRDefault="00224051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185</w:t>
            </w:r>
          </w:p>
        </w:tc>
      </w:tr>
      <w:tr w:rsidR="005D5117" w:rsidRPr="00BE2B57" w14:paraId="0172A19C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365937FB" w14:textId="77777777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1350" w:type="dxa"/>
            <w:noWrap/>
          </w:tcPr>
          <w:p w14:paraId="17C55EC5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09D16318" w14:textId="77777777" w:rsidR="005D511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40D333AF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D5117" w:rsidRPr="00BE2B57" w14:paraId="0176E671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25AE99C4" w14:textId="3C7DB783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b w:val="0"/>
                <w:bCs w:val="0"/>
                <w:i/>
                <w:color w:val="000000"/>
              </w:rPr>
              <w:t>4-6 months</w:t>
            </w:r>
          </w:p>
        </w:tc>
        <w:tc>
          <w:tcPr>
            <w:tcW w:w="1350" w:type="dxa"/>
            <w:noWrap/>
          </w:tcPr>
          <w:p w14:paraId="364DC19B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60092EA3" w14:textId="77777777" w:rsidR="005D511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5B4F04C5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D5117" w:rsidRPr="00BE2B57" w14:paraId="51D9B7CB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49732D9B" w14:textId="6187B19B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 xml:space="preserve">NMIBC </w:t>
            </w:r>
          </w:p>
        </w:tc>
        <w:tc>
          <w:tcPr>
            <w:tcW w:w="1350" w:type="dxa"/>
            <w:noWrap/>
          </w:tcPr>
          <w:p w14:paraId="62A961C2" w14:textId="6BE38293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88/46</w:t>
            </w:r>
          </w:p>
        </w:tc>
        <w:tc>
          <w:tcPr>
            <w:tcW w:w="1890" w:type="dxa"/>
            <w:noWrap/>
          </w:tcPr>
          <w:p w14:paraId="17183B9A" w14:textId="00CC8A7F" w:rsidR="005D511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1.9 (1.5-2.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</w:tcPr>
          <w:p w14:paraId="17B33A8B" w14:textId="398FE29C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</w:tr>
      <w:tr w:rsidR="005D5117" w:rsidRPr="00BE2B57" w14:paraId="60222107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286CC3A9" w14:textId="2781453F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>MIBC</w:t>
            </w:r>
          </w:p>
        </w:tc>
        <w:tc>
          <w:tcPr>
            <w:tcW w:w="1350" w:type="dxa"/>
            <w:noWrap/>
          </w:tcPr>
          <w:p w14:paraId="6F9AE6DC" w14:textId="2219E316" w:rsidR="005D5117" w:rsidRPr="00BE2B57" w:rsidRDefault="00224051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  <w:r w:rsidR="005D5117" w:rsidRPr="00BE2B57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890" w:type="dxa"/>
            <w:noWrap/>
          </w:tcPr>
          <w:p w14:paraId="2497762B" w14:textId="44DEDCE0" w:rsidR="005D5117" w:rsidRDefault="00224051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2.12</w:t>
            </w:r>
            <w:r w:rsidR="005D5117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1.3</w:t>
            </w:r>
            <w:r w:rsidR="005D5117" w:rsidRPr="00BE2B57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5D5117"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</w:tcPr>
          <w:p w14:paraId="619D06FE" w14:textId="364960EE" w:rsidR="005D5117" w:rsidRPr="00BE2B57" w:rsidRDefault="00224051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</w:tr>
      <w:tr w:rsidR="005D5117" w:rsidRPr="00BE2B57" w14:paraId="490F2AAA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noWrap/>
            <w:hideMark/>
          </w:tcPr>
          <w:p w14:paraId="65495357" w14:textId="77777777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D5117" w:rsidRPr="00BE2B57" w14:paraId="3334BA51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65E49179" w14:textId="77777777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bCs w:val="0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b w:val="0"/>
                <w:i/>
                <w:color w:val="000000"/>
              </w:rPr>
              <w:t>Metachronous (</w:t>
            </w:r>
            <w:r>
              <w:rPr>
                <w:rFonts w:ascii="Arial" w:eastAsia="Times New Roman" w:hAnsi="Arial" w:cs="Arial"/>
                <w:b w:val="0"/>
                <w:i/>
                <w:color w:val="000000"/>
              </w:rPr>
              <w:t>≥</w:t>
            </w:r>
            <w:r w:rsidRPr="00BE2B57">
              <w:rPr>
                <w:rFonts w:ascii="Arial" w:eastAsia="Times New Roman" w:hAnsi="Arial" w:cs="Arial"/>
                <w:b w:val="0"/>
                <w:i/>
                <w:color w:val="000000"/>
              </w:rPr>
              <w:t>6m)</w:t>
            </w:r>
          </w:p>
        </w:tc>
        <w:tc>
          <w:tcPr>
            <w:tcW w:w="1350" w:type="dxa"/>
          </w:tcPr>
          <w:p w14:paraId="0CADC75F" w14:textId="77777777" w:rsidR="005D5117" w:rsidRPr="00BE2B57" w:rsidRDefault="005D5117" w:rsidP="005D5117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01C63705" w14:textId="77777777" w:rsidR="005D5117" w:rsidRPr="00BE2B57" w:rsidRDefault="005D5117" w:rsidP="005D5117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  <w:hideMark/>
          </w:tcPr>
          <w:p w14:paraId="2C397470" w14:textId="77777777" w:rsidR="005D5117" w:rsidRPr="00BE2B57" w:rsidRDefault="005D5117" w:rsidP="005D5117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D5117" w:rsidRPr="00BE2B57" w14:paraId="2873AD92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508C6EB4" w14:textId="50CD9384" w:rsidR="005D5117" w:rsidRPr="00446CD7" w:rsidRDefault="00446CD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b w:val="0"/>
                <w:bCs w:val="0"/>
                <w:i/>
                <w:color w:val="000000"/>
              </w:rPr>
              <w:t>7-12 months</w:t>
            </w:r>
          </w:p>
        </w:tc>
        <w:tc>
          <w:tcPr>
            <w:tcW w:w="1350" w:type="dxa"/>
            <w:noWrap/>
          </w:tcPr>
          <w:p w14:paraId="367FDF56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62A7A7F4" w14:textId="77777777" w:rsidR="005D511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54E320F1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D5117" w:rsidRPr="00BE2B57" w14:paraId="178A9085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08DC86CD" w14:textId="77777777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>NMIBC (N= 62161)</w:t>
            </w:r>
          </w:p>
        </w:tc>
        <w:tc>
          <w:tcPr>
            <w:tcW w:w="1350" w:type="dxa"/>
            <w:noWrap/>
            <w:hideMark/>
          </w:tcPr>
          <w:p w14:paraId="0F2C23FE" w14:textId="73F4C66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E2B57">
              <w:rPr>
                <w:rFonts w:ascii="Arial" w:eastAsia="Times New Roman" w:hAnsi="Arial" w:cs="Arial"/>
                <w:color w:val="000000"/>
              </w:rPr>
              <w:t>1</w:t>
            </w:r>
            <w:r w:rsidR="00446CD7">
              <w:rPr>
                <w:rFonts w:ascii="Arial" w:eastAsia="Times New Roman" w:hAnsi="Arial" w:cs="Arial"/>
                <w:color w:val="000000"/>
              </w:rPr>
              <w:t>60</w:t>
            </w:r>
            <w:r w:rsidRPr="00BE2B57">
              <w:rPr>
                <w:rFonts w:ascii="Arial" w:eastAsia="Times New Roman" w:hAnsi="Arial" w:cs="Arial"/>
                <w:color w:val="000000"/>
              </w:rPr>
              <w:t>/</w:t>
            </w:r>
            <w:r w:rsidR="00446CD7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90" w:type="dxa"/>
            <w:noWrap/>
            <w:hideMark/>
          </w:tcPr>
          <w:p w14:paraId="2B6D7F9F" w14:textId="476B860F" w:rsidR="005D5117" w:rsidRPr="00BE2B57" w:rsidRDefault="00446CD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1.8</w:t>
            </w:r>
            <w:r w:rsidR="005D5117">
              <w:rPr>
                <w:rFonts w:ascii="Arial" w:eastAsia="Times New Roman" w:hAnsi="Arial" w:cs="Arial"/>
                <w:color w:val="000000"/>
              </w:rPr>
              <w:t xml:space="preserve"> (1.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5D5117">
              <w:rPr>
                <w:rFonts w:ascii="Arial" w:eastAsia="Times New Roman" w:hAnsi="Arial" w:cs="Arial"/>
                <w:color w:val="000000"/>
              </w:rPr>
              <w:t>-2.</w:t>
            </w:r>
            <w:proofErr w:type="gramStart"/>
            <w:r w:rsidR="005D5117">
              <w:rPr>
                <w:rFonts w:ascii="Arial" w:eastAsia="Times New Roman" w:hAnsi="Arial" w:cs="Arial"/>
                <w:color w:val="000000"/>
              </w:rPr>
              <w:t>1</w:t>
            </w:r>
            <w:r w:rsidR="005D5117"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  <w:hideMark/>
          </w:tcPr>
          <w:p w14:paraId="22C5C105" w14:textId="1ECC1ABA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E2B57">
              <w:rPr>
                <w:rFonts w:ascii="Arial" w:eastAsia="Times New Roman" w:hAnsi="Arial" w:cs="Arial"/>
                <w:color w:val="000000"/>
              </w:rPr>
              <w:t>2</w:t>
            </w:r>
            <w:r w:rsidR="00446CD7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5D5117" w:rsidRPr="00BE2B57" w14:paraId="61C76728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39D6FE88" w14:textId="77777777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>MIBC (N=14261)</w:t>
            </w:r>
          </w:p>
        </w:tc>
        <w:tc>
          <w:tcPr>
            <w:tcW w:w="1350" w:type="dxa"/>
            <w:noWrap/>
            <w:hideMark/>
          </w:tcPr>
          <w:p w14:paraId="07EF7470" w14:textId="535EE59C" w:rsidR="005D5117" w:rsidRPr="00BE2B57" w:rsidRDefault="00224051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  <w:r w:rsidR="005D5117" w:rsidRPr="00BE2B57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890" w:type="dxa"/>
            <w:noWrap/>
            <w:hideMark/>
          </w:tcPr>
          <w:p w14:paraId="085295AD" w14:textId="1435CB5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2.2 (1.</w:t>
            </w:r>
            <w:r w:rsidR="00224051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224051">
              <w:rPr>
                <w:rFonts w:ascii="Arial" w:eastAsia="Times New Roman" w:hAnsi="Arial" w:cs="Arial"/>
                <w:color w:val="000000"/>
              </w:rPr>
              <w:t>3.</w:t>
            </w:r>
            <w:proofErr w:type="gramStart"/>
            <w:r w:rsidR="00224051">
              <w:rPr>
                <w:rFonts w:ascii="Arial" w:eastAsia="Times New Roman" w:hAnsi="Arial" w:cs="Arial"/>
                <w:color w:val="000000"/>
              </w:rPr>
              <w:t>0</w:t>
            </w:r>
            <w:r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  <w:hideMark/>
          </w:tcPr>
          <w:p w14:paraId="6344CF09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E2B57">
              <w:rPr>
                <w:rFonts w:ascii="Arial" w:eastAsia="Times New Roman" w:hAnsi="Arial" w:cs="Arial"/>
                <w:color w:val="000000"/>
              </w:rPr>
              <w:t>36</w:t>
            </w:r>
          </w:p>
        </w:tc>
      </w:tr>
      <w:tr w:rsidR="005D5117" w:rsidRPr="00BE2B57" w14:paraId="1C405F6A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4EE0ADB8" w14:textId="77777777" w:rsidR="005D5117" w:rsidRPr="00BE2B57" w:rsidRDefault="005D5117" w:rsidP="005D511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1350" w:type="dxa"/>
            <w:noWrap/>
          </w:tcPr>
          <w:p w14:paraId="1C754576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59F67CA2" w14:textId="77777777" w:rsidR="005D511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6018389A" w14:textId="77777777" w:rsidR="005D5117" w:rsidRPr="00BE2B57" w:rsidRDefault="005D5117" w:rsidP="005D511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CD7" w:rsidRPr="00BE2B57" w14:paraId="569DF821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6C991576" w14:textId="324E53FF" w:rsidR="00446CD7" w:rsidRPr="00BE2B57" w:rsidRDefault="00446CD7" w:rsidP="00446CD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b w:val="0"/>
                <w:bCs w:val="0"/>
                <w:i/>
                <w:color w:val="000000"/>
              </w:rPr>
              <w:t>13-59 months</w:t>
            </w:r>
          </w:p>
        </w:tc>
        <w:tc>
          <w:tcPr>
            <w:tcW w:w="1350" w:type="dxa"/>
            <w:noWrap/>
          </w:tcPr>
          <w:p w14:paraId="47D9334C" w14:textId="77777777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7291C5F2" w14:textId="77777777" w:rsidR="00446CD7" w:rsidRDefault="00446CD7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5D63BEDC" w14:textId="77777777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CD7" w:rsidRPr="00BE2B57" w14:paraId="36D68458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4E0AD01D" w14:textId="5326EA7D" w:rsidR="00446CD7" w:rsidRPr="00BE2B57" w:rsidRDefault="00446CD7" w:rsidP="00446CD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 xml:space="preserve">NMIBC </w:t>
            </w:r>
          </w:p>
        </w:tc>
        <w:tc>
          <w:tcPr>
            <w:tcW w:w="1350" w:type="dxa"/>
            <w:noWrap/>
          </w:tcPr>
          <w:p w14:paraId="0FDECD04" w14:textId="51CA7F4D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826/410</w:t>
            </w:r>
          </w:p>
        </w:tc>
        <w:tc>
          <w:tcPr>
            <w:tcW w:w="1890" w:type="dxa"/>
            <w:noWrap/>
          </w:tcPr>
          <w:p w14:paraId="716BDC2E" w14:textId="4C7336E7" w:rsidR="00446CD7" w:rsidRDefault="00446CD7" w:rsidP="00446CD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2.0 (1.9-2.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</w:tcPr>
          <w:p w14:paraId="51EAC6B9" w14:textId="1C850625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446CD7" w:rsidRPr="00BE2B57" w14:paraId="5C71BD12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5E9FF557" w14:textId="09E8AAFD" w:rsidR="00446CD7" w:rsidRPr="00BE2B57" w:rsidRDefault="00446CD7" w:rsidP="00446CD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>MIBC</w:t>
            </w:r>
          </w:p>
        </w:tc>
        <w:tc>
          <w:tcPr>
            <w:tcW w:w="1350" w:type="dxa"/>
            <w:noWrap/>
          </w:tcPr>
          <w:p w14:paraId="3993EE7C" w14:textId="411C123F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E2B57">
              <w:rPr>
                <w:rFonts w:ascii="Arial" w:eastAsia="Times New Roman" w:hAnsi="Arial" w:cs="Arial"/>
                <w:color w:val="000000"/>
              </w:rPr>
              <w:t>1</w:t>
            </w:r>
            <w:r w:rsidR="00224051">
              <w:rPr>
                <w:rFonts w:ascii="Arial" w:eastAsia="Times New Roman" w:hAnsi="Arial" w:cs="Arial"/>
                <w:color w:val="000000"/>
              </w:rPr>
              <w:t>27</w:t>
            </w:r>
            <w:r w:rsidRPr="00BE2B57">
              <w:rPr>
                <w:rFonts w:ascii="Arial" w:eastAsia="Times New Roman" w:hAnsi="Arial" w:cs="Arial"/>
                <w:color w:val="000000"/>
              </w:rPr>
              <w:t>/</w:t>
            </w:r>
            <w:r w:rsidR="00224051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890" w:type="dxa"/>
            <w:noWrap/>
          </w:tcPr>
          <w:p w14:paraId="7B30E9C1" w14:textId="1CC6488B" w:rsidR="00446CD7" w:rsidRDefault="00224051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2.24</w:t>
            </w:r>
            <w:r w:rsidR="00446CD7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1.9</w:t>
            </w:r>
            <w:r w:rsidR="00446CD7" w:rsidRPr="00BE2B57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446CD7"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</w:tcPr>
          <w:p w14:paraId="1E8481BC" w14:textId="09792620" w:rsidR="00446CD7" w:rsidRPr="00BE2B57" w:rsidRDefault="00224051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</w:tr>
      <w:tr w:rsidR="00446CD7" w:rsidRPr="00BE2B57" w14:paraId="2F762C03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126F4916" w14:textId="77777777" w:rsidR="00446CD7" w:rsidRPr="00BE2B57" w:rsidRDefault="00446CD7" w:rsidP="00446CD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1350" w:type="dxa"/>
            <w:noWrap/>
          </w:tcPr>
          <w:p w14:paraId="525399E6" w14:textId="77777777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6C43DC47" w14:textId="77777777" w:rsidR="00446CD7" w:rsidRDefault="00446CD7" w:rsidP="00446CD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026673D4" w14:textId="77777777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CD7" w:rsidRPr="00BE2B57" w14:paraId="36C17F3B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63833812" w14:textId="657D7E14" w:rsidR="00446CD7" w:rsidRPr="00BE2B57" w:rsidRDefault="00446CD7" w:rsidP="00446CD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 xml:space="preserve">  </w:t>
            </w:r>
            <w:r w:rsidR="005E5A4B">
              <w:rPr>
                <w:rFonts w:ascii="Arial" w:eastAsia="Times New Roman" w:hAnsi="Arial" w:cs="Arial"/>
                <w:b w:val="0"/>
                <w:bCs w:val="0"/>
                <w:i/>
                <w:color w:val="000000"/>
              </w:rPr>
              <w:t>&gt;60 months</w:t>
            </w:r>
          </w:p>
        </w:tc>
        <w:tc>
          <w:tcPr>
            <w:tcW w:w="1350" w:type="dxa"/>
            <w:noWrap/>
          </w:tcPr>
          <w:p w14:paraId="3C0AF83C" w14:textId="77777777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noWrap/>
          </w:tcPr>
          <w:p w14:paraId="0BE1ECA4" w14:textId="77777777" w:rsidR="00446CD7" w:rsidRDefault="00446CD7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0" w:type="dxa"/>
            <w:noWrap/>
          </w:tcPr>
          <w:p w14:paraId="7540170F" w14:textId="77777777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CD7" w:rsidRPr="00BE2B57" w14:paraId="1D0D1716" w14:textId="77777777" w:rsidTr="00DA3E6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43C6CFFD" w14:textId="28F3B636" w:rsidR="00446CD7" w:rsidRPr="00BE2B57" w:rsidRDefault="00446CD7" w:rsidP="00446CD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 xml:space="preserve">NMIBC </w:t>
            </w:r>
          </w:p>
        </w:tc>
        <w:tc>
          <w:tcPr>
            <w:tcW w:w="1350" w:type="dxa"/>
            <w:noWrap/>
          </w:tcPr>
          <w:p w14:paraId="3D25E2AB" w14:textId="607B4177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="00DD14B9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/4</w:t>
            </w:r>
            <w:r w:rsidR="00DD14B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90" w:type="dxa"/>
            <w:noWrap/>
          </w:tcPr>
          <w:p w14:paraId="71759814" w14:textId="6A54E2E6" w:rsidR="00446CD7" w:rsidRDefault="00446CD7" w:rsidP="00446CD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1.9 (1.5-2.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</w:tcPr>
          <w:p w14:paraId="47582EED" w14:textId="4672CC5A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DD14B9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446CD7" w:rsidRPr="00BE2B57" w14:paraId="3B086401" w14:textId="77777777" w:rsidTr="00DA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</w:tcPr>
          <w:p w14:paraId="1A3B6A6E" w14:textId="4CC54ED2" w:rsidR="00446CD7" w:rsidRPr="00BE2B57" w:rsidRDefault="00446CD7" w:rsidP="00446CD7">
            <w:pPr>
              <w:pStyle w:val="NoSpacing"/>
              <w:spacing w:line="276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BE2B57">
              <w:rPr>
                <w:rFonts w:ascii="Arial" w:eastAsia="Times New Roman" w:hAnsi="Arial" w:cs="Arial"/>
                <w:i/>
                <w:color w:val="000000"/>
              </w:rPr>
              <w:t>MIBC</w:t>
            </w:r>
          </w:p>
        </w:tc>
        <w:tc>
          <w:tcPr>
            <w:tcW w:w="1350" w:type="dxa"/>
            <w:noWrap/>
          </w:tcPr>
          <w:p w14:paraId="746EC3B7" w14:textId="7FF174A6" w:rsidR="00446CD7" w:rsidRPr="00BE2B57" w:rsidRDefault="00446CD7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E2B57">
              <w:rPr>
                <w:rFonts w:ascii="Arial" w:eastAsia="Times New Roman" w:hAnsi="Arial" w:cs="Arial"/>
                <w:color w:val="000000"/>
              </w:rPr>
              <w:t>1</w:t>
            </w:r>
            <w:r w:rsidR="002052E5">
              <w:rPr>
                <w:rFonts w:ascii="Arial" w:eastAsia="Times New Roman" w:hAnsi="Arial" w:cs="Arial"/>
                <w:color w:val="000000"/>
              </w:rPr>
              <w:t>0</w:t>
            </w:r>
            <w:r w:rsidRPr="00BE2B57">
              <w:rPr>
                <w:rFonts w:ascii="Arial" w:eastAsia="Times New Roman" w:hAnsi="Arial" w:cs="Arial"/>
                <w:color w:val="000000"/>
              </w:rPr>
              <w:t>/</w:t>
            </w:r>
            <w:r w:rsidR="002052E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90" w:type="dxa"/>
            <w:noWrap/>
          </w:tcPr>
          <w:p w14:paraId="585747CD" w14:textId="3E3B910E" w:rsidR="00446CD7" w:rsidRDefault="002052E5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2.1</w:t>
            </w:r>
            <w:r w:rsidR="00446CD7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1.0</w:t>
            </w:r>
            <w:r w:rsidR="00446CD7" w:rsidRPr="00BE2B57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9</w:t>
            </w:r>
            <w:r w:rsidR="00446CD7" w:rsidRPr="00BE2B57">
              <w:rPr>
                <w:rFonts w:ascii="Arial" w:eastAsia="Times New Roman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510" w:type="dxa"/>
            <w:noWrap/>
          </w:tcPr>
          <w:p w14:paraId="276A7B49" w14:textId="7CBE2104" w:rsidR="00446CD7" w:rsidRPr="00BE2B57" w:rsidRDefault="002052E5" w:rsidP="00446CD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</w:tr>
    </w:tbl>
    <w:p w14:paraId="39CD5009" w14:textId="77777777" w:rsidR="009C3172" w:rsidRDefault="009C3172" w:rsidP="009C3172">
      <w:pPr>
        <w:pStyle w:val="NoSpacing"/>
        <w:spacing w:line="276" w:lineRule="auto"/>
        <w:rPr>
          <w:rFonts w:ascii="Arial" w:hAnsi="Arial" w:cs="Arial"/>
        </w:rPr>
      </w:pPr>
    </w:p>
    <w:p w14:paraId="14842F55" w14:textId="77777777" w:rsidR="009C3172" w:rsidRPr="00BE2B57" w:rsidRDefault="009C3172" w:rsidP="009C3172">
      <w:pPr>
        <w:pStyle w:val="NoSpacing"/>
        <w:spacing w:line="276" w:lineRule="auto"/>
        <w:rPr>
          <w:rFonts w:ascii="Arial" w:hAnsi="Arial" w:cs="Arial"/>
        </w:rPr>
      </w:pPr>
      <w:r w:rsidRPr="00BE2B57">
        <w:rPr>
          <w:rFonts w:ascii="Arial" w:hAnsi="Arial" w:cs="Arial"/>
        </w:rPr>
        <w:t xml:space="preserve">O/E: number of observed </w:t>
      </w:r>
      <w:proofErr w:type="gramStart"/>
      <w:r w:rsidRPr="00BE2B57">
        <w:rPr>
          <w:rFonts w:ascii="Arial" w:hAnsi="Arial" w:cs="Arial"/>
        </w:rPr>
        <w:t>cases/number</w:t>
      </w:r>
      <w:proofErr w:type="gramEnd"/>
      <w:r w:rsidRPr="00BE2B57">
        <w:rPr>
          <w:rFonts w:ascii="Arial" w:hAnsi="Arial" w:cs="Arial"/>
        </w:rPr>
        <w:t xml:space="preserve"> of expected cases; SIR: standardized incidence ratio</w:t>
      </w:r>
      <w:r>
        <w:rPr>
          <w:rFonts w:ascii="Arial" w:hAnsi="Arial" w:cs="Arial"/>
        </w:rPr>
        <w:t xml:space="preserve">; </w:t>
      </w:r>
      <w:r w:rsidRPr="00794608">
        <w:rPr>
          <w:rFonts w:ascii="Arial" w:eastAsia="Times New Roman" w:hAnsi="Arial" w:cs="Arial"/>
          <w:color w:val="000000"/>
        </w:rPr>
        <w:t>*p=&lt;0.05</w:t>
      </w:r>
    </w:p>
    <w:p w14:paraId="1EB3CE47" w14:textId="77777777" w:rsidR="00E90222" w:rsidRDefault="00252C7A"/>
    <w:sectPr w:rsidR="00E90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2"/>
    <w:rsid w:val="00173964"/>
    <w:rsid w:val="002052E5"/>
    <w:rsid w:val="00224051"/>
    <w:rsid w:val="00252C7A"/>
    <w:rsid w:val="00446CD7"/>
    <w:rsid w:val="005D5117"/>
    <w:rsid w:val="005E5A4B"/>
    <w:rsid w:val="00651A15"/>
    <w:rsid w:val="009C3172"/>
    <w:rsid w:val="00A72F7A"/>
    <w:rsid w:val="00B355DF"/>
    <w:rsid w:val="00D94D3C"/>
    <w:rsid w:val="00D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9D5B5"/>
  <w15:chartTrackingRefBased/>
  <w15:docId w15:val="{EE9F04FF-95C5-6C47-B100-CDD679BA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7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172"/>
    <w:rPr>
      <w:sz w:val="22"/>
      <w:szCs w:val="22"/>
    </w:rPr>
  </w:style>
  <w:style w:type="table" w:styleId="PlainTable1">
    <w:name w:val="Plain Table 1"/>
    <w:basedOn w:val="TableNormal"/>
    <w:uiPriority w:val="99"/>
    <w:rsid w:val="009C3172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Jacob</dc:creator>
  <cp:keywords/>
  <dc:description/>
  <cp:lastModifiedBy>Taylor, Jacob</cp:lastModifiedBy>
  <cp:revision>10</cp:revision>
  <dcterms:created xsi:type="dcterms:W3CDTF">2021-04-17T22:14:00Z</dcterms:created>
  <dcterms:modified xsi:type="dcterms:W3CDTF">2021-05-07T01:19:00Z</dcterms:modified>
</cp:coreProperties>
</file>