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16" w:rsidRPr="00077B16" w:rsidRDefault="00F47CC6" w:rsidP="00077B16">
      <w:pPr>
        <w:jc w:val="both"/>
        <w:rPr>
          <w:rFonts w:eastAsia="Times New Roman" w:cs="Times New Roman"/>
          <w:color w:val="000000"/>
          <w:sz w:val="20"/>
          <w:szCs w:val="20"/>
          <w:lang w:eastAsia="en-GB"/>
        </w:rPr>
      </w:pPr>
      <w:r w:rsidRPr="00077B16">
        <w:rPr>
          <w:sz w:val="20"/>
          <w:szCs w:val="20"/>
        </w:rPr>
        <w:t>Table S1.  Primers used for preparing non-coding mutation sequencing libraries by multiplex-PCR.</w:t>
      </w:r>
      <w:r w:rsidR="00077B16" w:rsidRPr="00077B16">
        <w:rPr>
          <w:sz w:val="20"/>
          <w:szCs w:val="20"/>
        </w:rPr>
        <w:t xml:space="preserve">  Coordinates are Hg19.  The sequences of the adapters for subsequent barcoding are, CS1: </w:t>
      </w:r>
      <w:r w:rsidR="00077B16" w:rsidRPr="00077B16">
        <w:rPr>
          <w:rFonts w:eastAsia="Times New Roman" w:cs="Times New Roman"/>
          <w:color w:val="000000"/>
          <w:sz w:val="20"/>
          <w:szCs w:val="20"/>
          <w:lang w:eastAsia="en-GB"/>
        </w:rPr>
        <w:t>ACACTGACGACATGGTTCTACA and CS2: TACGGTAGCAGAGACTTGGTCT.</w:t>
      </w:r>
    </w:p>
    <w:p w:rsidR="00F47CC6" w:rsidRDefault="00077B16" w:rsidP="00077B16">
      <w:pPr>
        <w:jc w:val="both"/>
        <w:rPr>
          <w:i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i/>
          <w:sz w:val="18"/>
          <w:szCs w:val="18"/>
        </w:rPr>
        <w:t xml:space="preserve"> </w:t>
      </w:r>
    </w:p>
    <w:p w:rsidR="00077B16" w:rsidRDefault="00077B16" w:rsidP="005C045A">
      <w:pPr>
        <w:spacing w:line="360" w:lineRule="auto"/>
        <w:jc w:val="both"/>
        <w:rPr>
          <w:i/>
          <w:sz w:val="18"/>
          <w:szCs w:val="18"/>
        </w:rPr>
      </w:pPr>
      <w:r w:rsidRPr="00077B16">
        <w:rPr>
          <w:noProof/>
          <w:lang w:eastAsia="en-GB"/>
        </w:rPr>
        <w:drawing>
          <wp:inline distT="0" distB="0" distL="0" distR="0" wp14:anchorId="268AA1D8" wp14:editId="2F6F9517">
            <wp:extent cx="5731510" cy="733584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B16" w:rsidRDefault="00077B16" w:rsidP="005C045A">
      <w:pPr>
        <w:spacing w:line="360" w:lineRule="auto"/>
        <w:jc w:val="both"/>
        <w:rPr>
          <w:i/>
          <w:sz w:val="18"/>
          <w:szCs w:val="18"/>
        </w:rPr>
      </w:pPr>
    </w:p>
    <w:p w:rsidR="00077B16" w:rsidRDefault="00077B16" w:rsidP="005C045A">
      <w:pPr>
        <w:spacing w:line="360" w:lineRule="auto"/>
        <w:jc w:val="both"/>
        <w:rPr>
          <w:i/>
          <w:sz w:val="18"/>
          <w:szCs w:val="18"/>
        </w:rPr>
      </w:pPr>
    </w:p>
    <w:p w:rsidR="00077B16" w:rsidRDefault="00077B16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5C045A" w:rsidRPr="00077B16" w:rsidRDefault="00F47CC6" w:rsidP="005C045A">
      <w:pPr>
        <w:spacing w:line="360" w:lineRule="auto"/>
        <w:jc w:val="both"/>
        <w:rPr>
          <w:sz w:val="20"/>
          <w:szCs w:val="20"/>
        </w:rPr>
      </w:pPr>
      <w:r w:rsidRPr="00077B16">
        <w:rPr>
          <w:sz w:val="20"/>
          <w:szCs w:val="20"/>
        </w:rPr>
        <w:lastRenderedPageBreak/>
        <w:t>Table S2</w:t>
      </w:r>
      <w:r w:rsidR="005C045A" w:rsidRPr="00077B16">
        <w:rPr>
          <w:sz w:val="20"/>
          <w:szCs w:val="20"/>
        </w:rPr>
        <w:t xml:space="preserve">.  </w:t>
      </w:r>
      <w:proofErr w:type="gramStart"/>
      <w:r w:rsidR="005C045A" w:rsidRPr="00077B16">
        <w:rPr>
          <w:sz w:val="20"/>
          <w:szCs w:val="20"/>
        </w:rPr>
        <w:t>Non-recurrent variants and polymorphisms.</w:t>
      </w:r>
      <w:proofErr w:type="gramEnd"/>
      <w:r w:rsidR="005C045A" w:rsidRPr="00077B16">
        <w:rPr>
          <w:sz w:val="20"/>
          <w:szCs w:val="20"/>
        </w:rPr>
        <w:t xml:space="preserve">  Variants that occurred once in 30</w:t>
      </w:r>
      <w:r w:rsidR="00146A2E">
        <w:rPr>
          <w:sz w:val="20"/>
          <w:szCs w:val="20"/>
        </w:rPr>
        <w:t>2</w:t>
      </w:r>
      <w:r w:rsidR="005C045A" w:rsidRPr="00077B16">
        <w:rPr>
          <w:sz w:val="20"/>
          <w:szCs w:val="20"/>
        </w:rPr>
        <w:t xml:space="preserve"> UBCs or were recurrent but confirmed as polymorphisms by germline DNA sequencing (indicated with an asterisk are listed</w:t>
      </w:r>
      <w:r w:rsidR="00273671" w:rsidRPr="00077B16">
        <w:rPr>
          <w:sz w:val="20"/>
          <w:szCs w:val="20"/>
        </w:rPr>
        <w:t>)</w:t>
      </w:r>
      <w:r w:rsidR="005C045A" w:rsidRPr="00077B16">
        <w:rPr>
          <w:sz w:val="20"/>
          <w:szCs w:val="20"/>
        </w:rPr>
        <w:t>. These variants were excluded from all data analyses.</w:t>
      </w:r>
    </w:p>
    <w:tbl>
      <w:tblPr>
        <w:tblW w:w="7990" w:type="dxa"/>
        <w:tblInd w:w="93" w:type="dxa"/>
        <w:tblLook w:val="04A0" w:firstRow="1" w:lastRow="0" w:firstColumn="1" w:lastColumn="0" w:noHBand="0" w:noVBand="1"/>
      </w:tblPr>
      <w:tblGrid>
        <w:gridCol w:w="1200"/>
        <w:gridCol w:w="1787"/>
        <w:gridCol w:w="1700"/>
        <w:gridCol w:w="960"/>
        <w:gridCol w:w="1383"/>
        <w:gridCol w:w="960"/>
      </w:tblGrid>
      <w:tr w:rsidR="00D975F2" w:rsidRPr="00D975F2" w:rsidTr="00D975F2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GENE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COORDINATE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BASE CHANGE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MAF(</w:t>
            </w:r>
            <w:proofErr w:type="gramEnd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%)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dbSBNP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SAMPLE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chr10:115511555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33.9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chr10:115511559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46.3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rs150946996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chr10:115511578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T/C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ave</w:t>
            </w:r>
            <w:proofErr w:type="spellEnd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=54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rs79409239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8*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chr10:115511588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T/A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45.8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chr10:115511590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17.8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chr10:115511607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42.0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TBC1D12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chr10:96162342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50.4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rs199804945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TBC1D12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chr10:96162370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16.8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chr11:62609175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T/C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36.0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rs548405016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10.4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chr11:62609176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38.9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chr11:62609182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A/G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25.1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46.7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rs534780060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2.9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T/G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63.1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ave</w:t>
            </w:r>
            <w:proofErr w:type="spellEnd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=48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rs370494108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13*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29.9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34.5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22.7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37.2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46.4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34.4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47.4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rs547036809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chr11:62609284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21.2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rs114330587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GPR126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chr6:142706198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42.4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GPR126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chr6:142706206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29.0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GPR126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chr6:142706217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28.6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GPR126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chr6:142706217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47.9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chr8:29952874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42.6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chr8:29952897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41.4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chr8:29952915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chr8:29952919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35.5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chr8:29952922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G/A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55.7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D975F2" w:rsidRPr="00D975F2" w:rsidTr="00D975F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chr8:29952946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C/T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ave</w:t>
            </w:r>
            <w:proofErr w:type="spellEnd"/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=50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rs143899166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5F2" w:rsidRPr="00D975F2" w:rsidRDefault="00D975F2" w:rsidP="00D97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975F2">
              <w:rPr>
                <w:rFonts w:ascii="Calibri" w:eastAsia="Times New Roman" w:hAnsi="Calibri" w:cs="Times New Roman"/>
                <w:color w:val="000000"/>
                <w:lang w:eastAsia="en-GB"/>
              </w:rPr>
              <w:t>22*</w:t>
            </w:r>
          </w:p>
        </w:tc>
      </w:tr>
    </w:tbl>
    <w:p w:rsidR="00FB0ADC" w:rsidRDefault="00FB0ADC" w:rsidP="00047F8A">
      <w:pPr>
        <w:rPr>
          <w:sz w:val="20"/>
          <w:szCs w:val="20"/>
        </w:rPr>
      </w:pPr>
    </w:p>
    <w:p w:rsidR="00FB0ADC" w:rsidRDefault="00FB0ADC" w:rsidP="00047F8A">
      <w:pPr>
        <w:rPr>
          <w:sz w:val="20"/>
          <w:szCs w:val="20"/>
        </w:rPr>
      </w:pPr>
    </w:p>
    <w:p w:rsidR="00FB0ADC" w:rsidRDefault="00FB0ADC" w:rsidP="00047F8A">
      <w:pPr>
        <w:rPr>
          <w:sz w:val="20"/>
          <w:szCs w:val="20"/>
        </w:rPr>
      </w:pPr>
    </w:p>
    <w:p w:rsidR="00047F8A" w:rsidRPr="00077B16" w:rsidRDefault="00047F8A" w:rsidP="00047F8A">
      <w:pPr>
        <w:rPr>
          <w:sz w:val="20"/>
          <w:szCs w:val="20"/>
        </w:rPr>
      </w:pPr>
      <w:r w:rsidRPr="00077B16">
        <w:rPr>
          <w:sz w:val="20"/>
          <w:szCs w:val="20"/>
        </w:rPr>
        <w:lastRenderedPageBreak/>
        <w:t>T</w:t>
      </w:r>
      <w:r w:rsidR="00F47CC6" w:rsidRPr="00077B16">
        <w:rPr>
          <w:sz w:val="20"/>
          <w:szCs w:val="20"/>
        </w:rPr>
        <w:t>able S3</w:t>
      </w:r>
      <w:r w:rsidRPr="00077B16">
        <w:rPr>
          <w:sz w:val="20"/>
          <w:szCs w:val="20"/>
        </w:rPr>
        <w:t xml:space="preserve">.  </w:t>
      </w:r>
      <w:proofErr w:type="gramStart"/>
      <w:r w:rsidRPr="00077B16">
        <w:rPr>
          <w:sz w:val="20"/>
          <w:szCs w:val="20"/>
        </w:rPr>
        <w:t>Frequencies of recurrent non-coding mutations across patient groups.</w:t>
      </w:r>
      <w:proofErr w:type="gramEnd"/>
      <w:r w:rsidRPr="00077B16">
        <w:rPr>
          <w:sz w:val="20"/>
          <w:szCs w:val="20"/>
        </w:rPr>
        <w:t xml:space="preserve"> </w:t>
      </w:r>
    </w:p>
    <w:p w:rsidR="00047F8A" w:rsidRDefault="00150B80" w:rsidP="00047F8A">
      <w:pPr>
        <w:spacing w:line="360" w:lineRule="auto"/>
        <w:jc w:val="both"/>
        <w:rPr>
          <w:i/>
          <w:sz w:val="24"/>
          <w:szCs w:val="24"/>
        </w:rPr>
      </w:pPr>
      <w:r w:rsidRPr="00150B80">
        <w:rPr>
          <w:noProof/>
          <w:lang w:eastAsia="en-GB"/>
        </w:rPr>
        <w:drawing>
          <wp:inline distT="0" distB="0" distL="0" distR="0" wp14:anchorId="7D561BA0" wp14:editId="6B6ED29E">
            <wp:extent cx="5731510" cy="1174197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F8A" w:rsidRDefault="00047F8A" w:rsidP="00047F8A">
      <w:pPr>
        <w:spacing w:line="360" w:lineRule="auto"/>
        <w:jc w:val="both"/>
      </w:pPr>
    </w:p>
    <w:p w:rsidR="00047F8A" w:rsidRDefault="00047F8A" w:rsidP="00047F8A">
      <w:pPr>
        <w:spacing w:line="360" w:lineRule="auto"/>
        <w:jc w:val="both"/>
      </w:pPr>
      <w:r w:rsidRPr="00975BAE">
        <w:t xml:space="preserve"> </w:t>
      </w:r>
    </w:p>
    <w:p w:rsidR="00047F8A" w:rsidRPr="00077B16" w:rsidRDefault="00047F8A" w:rsidP="00047F8A">
      <w:pPr>
        <w:spacing w:line="360" w:lineRule="auto"/>
        <w:jc w:val="both"/>
        <w:rPr>
          <w:sz w:val="20"/>
          <w:szCs w:val="20"/>
        </w:rPr>
      </w:pPr>
      <w:r w:rsidRPr="00077B16">
        <w:rPr>
          <w:sz w:val="20"/>
          <w:szCs w:val="20"/>
        </w:rPr>
        <w:t>Table S</w:t>
      </w:r>
      <w:r w:rsidR="00F47CC6" w:rsidRPr="00077B16">
        <w:rPr>
          <w:sz w:val="20"/>
          <w:szCs w:val="20"/>
        </w:rPr>
        <w:t>4</w:t>
      </w:r>
      <w:r w:rsidRPr="00077B16">
        <w:rPr>
          <w:sz w:val="20"/>
          <w:szCs w:val="20"/>
        </w:rPr>
        <w:t xml:space="preserve">.  </w:t>
      </w:r>
      <w:proofErr w:type="gramStart"/>
      <w:r w:rsidRPr="00077B16">
        <w:rPr>
          <w:sz w:val="20"/>
          <w:szCs w:val="20"/>
        </w:rPr>
        <w:t>Effects of mutation status on gene expression.</w:t>
      </w:r>
      <w:proofErr w:type="gramEnd"/>
      <w:r w:rsidRPr="00077B16">
        <w:rPr>
          <w:sz w:val="20"/>
          <w:szCs w:val="20"/>
        </w:rPr>
        <w:t xml:space="preserve">  Data shown are </w:t>
      </w:r>
      <w:r w:rsidR="00FB0ADC">
        <w:rPr>
          <w:sz w:val="20"/>
          <w:szCs w:val="20"/>
        </w:rPr>
        <w:t xml:space="preserve">median </w:t>
      </w:r>
      <w:r w:rsidRPr="00077B16">
        <w:rPr>
          <w:sz w:val="20"/>
          <w:szCs w:val="20"/>
        </w:rPr>
        <w:t>normalised read counts for each gene product.  For grade 1 UBC n=15, grade</w:t>
      </w:r>
      <w:r w:rsidR="00911185">
        <w:rPr>
          <w:sz w:val="20"/>
          <w:szCs w:val="20"/>
        </w:rPr>
        <w:t xml:space="preserve"> </w:t>
      </w:r>
      <w:r w:rsidRPr="00077B16">
        <w:rPr>
          <w:sz w:val="20"/>
          <w:szCs w:val="20"/>
        </w:rPr>
        <w:t xml:space="preserve">3 UBC n=45. </w:t>
      </w:r>
      <w:r w:rsidR="009F0312">
        <w:rPr>
          <w:sz w:val="20"/>
          <w:szCs w:val="20"/>
        </w:rPr>
        <w:t>*</w:t>
      </w:r>
      <w:r w:rsidRPr="00077B16">
        <w:rPr>
          <w:sz w:val="20"/>
          <w:szCs w:val="20"/>
        </w:rPr>
        <w:t xml:space="preserve"> = p&lt;0.05.  For comparison, median GAPDH expression = 17756.</w:t>
      </w:r>
    </w:p>
    <w:p w:rsidR="00871E00" w:rsidRDefault="00871E00" w:rsidP="00047F8A">
      <w:pPr>
        <w:rPr>
          <w:i/>
          <w:sz w:val="24"/>
          <w:szCs w:val="24"/>
        </w:rPr>
      </w:pPr>
    </w:p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106"/>
        <w:gridCol w:w="960"/>
        <w:gridCol w:w="960"/>
        <w:gridCol w:w="960"/>
        <w:gridCol w:w="960"/>
        <w:gridCol w:w="960"/>
      </w:tblGrid>
      <w:tr w:rsidR="00871E00" w:rsidRPr="00871E00" w:rsidTr="00871E0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All UBCs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wt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mut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Grade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Grade 3</w:t>
            </w:r>
          </w:p>
        </w:tc>
      </w:tr>
      <w:tr w:rsidR="00871E00" w:rsidRPr="00871E00" w:rsidTr="00871E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GPR126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2241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1861*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lang w:eastAsia="en-GB"/>
              </w:rPr>
              <w:t>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lang w:eastAsia="en-GB"/>
              </w:rPr>
              <w:t>1805*</w:t>
            </w:r>
          </w:p>
        </w:tc>
      </w:tr>
      <w:tr w:rsidR="00871E00" w:rsidRPr="00871E00" w:rsidTr="00871E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PLEKHS1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lang w:eastAsia="en-GB"/>
              </w:rPr>
              <w:t>47*</w:t>
            </w:r>
          </w:p>
        </w:tc>
      </w:tr>
      <w:tr w:rsidR="00871E00" w:rsidRPr="00871E00" w:rsidTr="00871E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LEPROTL1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447</w:t>
            </w:r>
          </w:p>
        </w:tc>
      </w:tr>
      <w:tr w:rsidR="00871E00" w:rsidRPr="00871E00" w:rsidTr="00871E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TBC1D12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317</w:t>
            </w:r>
          </w:p>
        </w:tc>
      </w:tr>
      <w:tr w:rsidR="00871E00" w:rsidRPr="00871E00" w:rsidTr="00871E0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WDR74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E00" w:rsidRPr="00871E00" w:rsidRDefault="00871E00" w:rsidP="00871E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71E00">
              <w:rPr>
                <w:rFonts w:ascii="Calibri" w:eastAsia="Times New Roman" w:hAnsi="Calibri" w:cs="Times New Roman"/>
                <w:color w:val="000000"/>
                <w:lang w:eastAsia="en-GB"/>
              </w:rPr>
              <w:t>340</w:t>
            </w:r>
          </w:p>
        </w:tc>
      </w:tr>
    </w:tbl>
    <w:p w:rsidR="00EB5805" w:rsidRDefault="00EB5805" w:rsidP="00992C7D">
      <w:bookmarkStart w:id="0" w:name="_GoBack"/>
      <w:bookmarkEnd w:id="0"/>
    </w:p>
    <w:sectPr w:rsidR="00EB58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5A"/>
    <w:rsid w:val="00047F8A"/>
    <w:rsid w:val="00077B16"/>
    <w:rsid w:val="001002B1"/>
    <w:rsid w:val="00131DC2"/>
    <w:rsid w:val="00146A2E"/>
    <w:rsid w:val="00150B80"/>
    <w:rsid w:val="00273671"/>
    <w:rsid w:val="003E250B"/>
    <w:rsid w:val="005C045A"/>
    <w:rsid w:val="00871E00"/>
    <w:rsid w:val="00911185"/>
    <w:rsid w:val="00957BDA"/>
    <w:rsid w:val="00992C7D"/>
    <w:rsid w:val="009F0312"/>
    <w:rsid w:val="00D975F2"/>
    <w:rsid w:val="00EB5805"/>
    <w:rsid w:val="00F47CC6"/>
    <w:rsid w:val="00FB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Ward</dc:creator>
  <cp:lastModifiedBy>Douglas Ward</cp:lastModifiedBy>
  <cp:revision>6</cp:revision>
  <dcterms:created xsi:type="dcterms:W3CDTF">2019-07-31T09:27:00Z</dcterms:created>
  <dcterms:modified xsi:type="dcterms:W3CDTF">2019-09-11T16:14:00Z</dcterms:modified>
</cp:coreProperties>
</file>