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B7" w:rsidRDefault="00972DB7" w:rsidP="00972DB7">
      <w:bookmarkStart w:id="0" w:name="_GoBack"/>
      <w:bookmarkEnd w:id="0"/>
    </w:p>
    <w:tbl>
      <w:tblPr>
        <w:tblpPr w:leftFromText="180" w:rightFromText="180" w:vertAnchor="text" w:horzAnchor="margin" w:tblpY="75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1530"/>
        <w:gridCol w:w="2785"/>
        <w:gridCol w:w="2525"/>
        <w:gridCol w:w="900"/>
      </w:tblGrid>
      <w:tr w:rsidR="00972DB7" w:rsidRPr="002A2D34" w:rsidTr="00D11E44">
        <w:tc>
          <w:tcPr>
            <w:tcW w:w="2430" w:type="dxa"/>
            <w:gridSpan w:val="2"/>
            <w:vMerge w:val="restart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Total Number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Not Referred (% from total)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Referred (% from total)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p-value</w:t>
            </w:r>
          </w:p>
        </w:tc>
      </w:tr>
      <w:tr w:rsidR="00972DB7" w:rsidRPr="002A2D34" w:rsidTr="00D11E44">
        <w:tc>
          <w:tcPr>
            <w:tcW w:w="2430" w:type="dxa"/>
            <w:gridSpan w:val="2"/>
            <w:vMerge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14663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12564         (85.7%)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2099       (14.3%)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-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Gender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Male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Female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3697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10966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2748           (74.3%)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9816           (89.5%)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949         (25.7%)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1150       (10.5%)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Age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&lt;35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35-50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50-65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65-80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&gt;80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2388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4823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4959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2084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409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2173           (91.0%)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4263           (88.4%)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4096           (82.6%)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1704           (81.8%)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328             (80.2%)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215          (9.0%)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560         (11.6%)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863         (17.4%)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380         (18.2%)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81           (19.8%)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Race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White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Black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Hispanic*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Asian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Indian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Pacific 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Unknown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9083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4691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579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34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35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231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7716           (84.9%)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4094           (87.3%)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                  (80.0%)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483             (83.4%)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33               (97.1%)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29               (82.9%)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201             (87.0%)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1367      (15.1%)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597        (12.7%)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             (20.0%)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96           (16.6%)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              (2.9%)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             (17.1%)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30           (13.0%)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0.002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UA RBC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3-19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20-49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50-99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&gt;99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12574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821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562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706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10995         (87.4%)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599             (73.0%)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444             (79.0%)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526             (74.5%)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1579      (12.6%)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222        (27.0%)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118        (21.0%)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180        (25.5%)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DM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4455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10208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3787           (85.0%)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8777           (86.0%)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668        (15.0%)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1431      (14.0%)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 xml:space="preserve">  0.121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HTN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6532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8131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5504           (84.3%)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7061           (86.8%)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1028      (15.7%)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1071      (13.2%)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Obesity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907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13756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783             (86.3%)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11781         (85.6%)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124        (13.7%)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1975      (14.4%)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 xml:space="preserve">  0.568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Tobacco use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Never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Former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Current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9641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2810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2212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8401           (87.1%)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2308           (82.1%)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1855           (83.9%)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1240      (12.9%)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502        (17.9%)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357        (16.1%)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Repeat UA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8148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6515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6497           (79.7%)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6067           (93.1%)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1651      (20.3%)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448          (6.9%)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 xml:space="preserve">Imaging 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5239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9424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3582           (68.4%)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8982           (95.3%)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1657      (31.6%)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442           (4.7%)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Cystoscopy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897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13766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0                     (0.0%)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12564         (91.3%)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897         (100%)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1202        (8.7%)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Complete Evaluation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801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13862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1296                 (0%)</w:t>
            </w:r>
          </w:p>
          <w:p w:rsidR="00972DB7" w:rsidRPr="002A2D34" w:rsidRDefault="00972DB7" w:rsidP="00D11E44">
            <w:pPr>
              <w:spacing w:after="0" w:line="240" w:lineRule="auto"/>
              <w:ind w:left="360"/>
            </w:pPr>
            <w:r w:rsidRPr="002A2D34">
              <w:t xml:space="preserve"> 1256           (90.6%)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801         (100%)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1298        (9.4%)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5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UTI</w:t>
            </w:r>
          </w:p>
        </w:tc>
        <w:tc>
          <w:tcPr>
            <w:tcW w:w="108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No</w:t>
            </w:r>
          </w:p>
        </w:tc>
        <w:tc>
          <w:tcPr>
            <w:tcW w:w="153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3251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11412</w:t>
            </w:r>
          </w:p>
        </w:tc>
        <w:tc>
          <w:tcPr>
            <w:tcW w:w="278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2448           (75.3%)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10116         (88.6%)</w:t>
            </w:r>
          </w:p>
        </w:tc>
        <w:tc>
          <w:tcPr>
            <w:tcW w:w="252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803         (24.7%)</w:t>
            </w:r>
          </w:p>
          <w:p w:rsidR="00972DB7" w:rsidRPr="002A2D34" w:rsidRDefault="00972DB7" w:rsidP="00D11E44">
            <w:pPr>
              <w:spacing w:after="0" w:line="240" w:lineRule="auto"/>
              <w:jc w:val="center"/>
            </w:pPr>
            <w:r w:rsidRPr="002A2D34">
              <w:t>1296       (11.4%)</w:t>
            </w:r>
          </w:p>
        </w:tc>
        <w:tc>
          <w:tcPr>
            <w:tcW w:w="90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jc w:val="center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</w:tbl>
    <w:p w:rsidR="00972DB7" w:rsidRDefault="00972DB7" w:rsidP="00972DB7">
      <w:pPr>
        <w:rPr>
          <w:b/>
        </w:rPr>
      </w:pPr>
      <w:proofErr w:type="gramStart"/>
      <w:r>
        <w:rPr>
          <w:b/>
        </w:rPr>
        <w:t xml:space="preserve">Supplementary </w:t>
      </w:r>
      <w:r w:rsidRPr="001A39CA">
        <w:rPr>
          <w:b/>
        </w:rPr>
        <w:t>Table 1.</w:t>
      </w:r>
      <w:proofErr w:type="gramEnd"/>
      <w:r w:rsidRPr="001A39CA">
        <w:rPr>
          <w:b/>
        </w:rPr>
        <w:t xml:space="preserve"> Demographic Variables and Stratifications According to Urology Referral </w:t>
      </w:r>
      <w:r w:rsidRPr="002A2D34">
        <w:rPr>
          <w:b/>
          <w:color w:val="000000"/>
        </w:rPr>
        <w:t>Including Patients Initially Presenting with Urinary Tract Infections</w:t>
      </w:r>
    </w:p>
    <w:p w:rsidR="00972DB7" w:rsidRDefault="00972DB7" w:rsidP="00972DB7">
      <w:r w:rsidRPr="002E6AA2">
        <w:t>UA: urinalysis; RBC: red blood cells; DM: diabetes mellitus; HTN: hypertension; UTI: urinary tract infection</w:t>
      </w:r>
    </w:p>
    <w:p w:rsidR="00972DB7" w:rsidRPr="002E6AA2" w:rsidRDefault="00972DB7" w:rsidP="00972DB7">
      <w:r>
        <w:t>*Most Hispanic patients are identified as white</w:t>
      </w:r>
    </w:p>
    <w:p w:rsidR="00972DB7" w:rsidRDefault="00972DB7" w:rsidP="00972DB7"/>
    <w:p w:rsidR="00972DB7" w:rsidRDefault="00972DB7" w:rsidP="00972DB7">
      <w:pPr>
        <w:rPr>
          <w:b/>
        </w:rPr>
      </w:pPr>
      <w:proofErr w:type="gramStart"/>
      <w:r>
        <w:rPr>
          <w:b/>
        </w:rPr>
        <w:t xml:space="preserve">Supplementary </w:t>
      </w:r>
      <w:r w:rsidRPr="001A39CA">
        <w:rPr>
          <w:b/>
        </w:rPr>
        <w:t>Table 2.</w:t>
      </w:r>
      <w:proofErr w:type="gramEnd"/>
      <w:r w:rsidRPr="001A39CA">
        <w:rPr>
          <w:b/>
        </w:rPr>
        <w:t xml:space="preserve"> Predictors of Urology Referral on </w:t>
      </w:r>
      <w:proofErr w:type="spellStart"/>
      <w:r w:rsidRPr="001A39CA">
        <w:rPr>
          <w:b/>
        </w:rPr>
        <w:t>Univaria</w:t>
      </w:r>
      <w:r>
        <w:rPr>
          <w:b/>
        </w:rPr>
        <w:t>bl</w:t>
      </w:r>
      <w:r w:rsidRPr="001A39CA">
        <w:rPr>
          <w:b/>
        </w:rPr>
        <w:t>e</w:t>
      </w:r>
      <w:proofErr w:type="spellEnd"/>
      <w:r w:rsidRPr="001A39CA">
        <w:rPr>
          <w:b/>
        </w:rPr>
        <w:t xml:space="preserve"> and Multivaria</w:t>
      </w:r>
      <w:r>
        <w:rPr>
          <w:b/>
        </w:rPr>
        <w:t>bl</w:t>
      </w:r>
      <w:r w:rsidRPr="001A39CA">
        <w:rPr>
          <w:b/>
        </w:rPr>
        <w:t xml:space="preserve">e Regression </w:t>
      </w:r>
      <w:r w:rsidRPr="002A2D34">
        <w:rPr>
          <w:b/>
          <w:color w:val="000000"/>
        </w:rPr>
        <w:t>Analyses Including Patients Initially Presenting with Urinary Tract Infections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588"/>
        <w:gridCol w:w="1922"/>
        <w:gridCol w:w="1331"/>
        <w:gridCol w:w="1999"/>
        <w:gridCol w:w="1165"/>
      </w:tblGrid>
      <w:tr w:rsidR="00972DB7" w:rsidRPr="002A2D34" w:rsidTr="00D11E44">
        <w:tc>
          <w:tcPr>
            <w:tcW w:w="2933" w:type="dxa"/>
            <w:gridSpan w:val="2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OR (95% CI)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p-value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MVA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OR (95% CI)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MVA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p-value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Gender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Female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0.34 (0.31-0.37)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0.355 (0.32-3.79)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Age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&lt;35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35-50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50-65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65-80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&gt;80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1.33 (1.13-1.57)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2.13 (1.82-2.49)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2.25 (1.89-2.70)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2.50 (1.89-3.31)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t xml:space="preserve">  </w:t>
            </w:r>
            <w:r w:rsidRPr="002A2D34">
              <w:rPr>
                <w:b/>
              </w:rPr>
              <w:t>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1.33 (1.12-1.59)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2.03 (1.71-2.42)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2.29 (1.88-2.80)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2.42 (1.78-3.28)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Race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White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Black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Hispanic*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Asian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Indian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Pacific Islander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Unknown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0.82 (0.74-0.91)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1.41 (0.30-6.65)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1.12 (0.90-1.41)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0.17 (0.02-1.25)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1.17 (0.48-2.82)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0.84 (0.57-1.24)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0.663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0.320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0.082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0.730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0.386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0.74 (0.66-0.83)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1.22 (0.24-6.16)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1.08 (0.85-1.38)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0.17 (0.02-1.27)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0.98 (0.39-2.48)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0.76 (0.51-1.14)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0.189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0.897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0.575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0.139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0.153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0.627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UA RBC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3-19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20-49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50-99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&gt;99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2.58 (2.19-3.04)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1.85 (1.50-2.28)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2.38 (2.00-2.85)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2.77 (2.33-3.30)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2.22 (1.77-2.77)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3.11 (2.57-3.78)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DM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1.08 (0.98-1.20)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0.121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HTN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1.23 (1.12-1.35)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1.16 (1.04-1.29)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t xml:space="preserve">  </w:t>
            </w:r>
            <w:r w:rsidRPr="002A2D34">
              <w:rPr>
                <w:b/>
              </w:rPr>
              <w:t>0.007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Obesity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0.95 (0.78-1.15)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0.568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Tobacco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Never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Former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Current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1.47 (1.32-1.65)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1.30 (1.15-1.48)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1.00 (0.88-1.14)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1.06 (0.92-1.22)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0.456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0.538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Repeat UA</w:t>
            </w:r>
          </w:p>
        </w:tc>
        <w:tc>
          <w:tcPr>
            <w:tcW w:w="1588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922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3.44 (3.08-3.84)</w:t>
            </w:r>
          </w:p>
        </w:tc>
        <w:tc>
          <w:tcPr>
            <w:tcW w:w="1331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99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3.38 (3.02-3.79)</w:t>
            </w:r>
          </w:p>
        </w:tc>
        <w:tc>
          <w:tcPr>
            <w:tcW w:w="116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</w:tbl>
    <w:p w:rsidR="00972DB7" w:rsidRDefault="00972DB7" w:rsidP="00972DB7">
      <w:r>
        <w:t xml:space="preserve">UVA: </w:t>
      </w:r>
      <w:proofErr w:type="spellStart"/>
      <w:r>
        <w:t>univariable</w:t>
      </w:r>
      <w:proofErr w:type="spellEnd"/>
      <w:r>
        <w:t xml:space="preserve"> analysis; MVA: multivariable analysis; OR: odds ratio; </w:t>
      </w:r>
      <w:r w:rsidRPr="002E6AA2">
        <w:t>UA: urinalysis; RBC: red blood cells; DM: diabetes mellitus; HTN: hypertension; UTI: urinary tract infection</w:t>
      </w:r>
    </w:p>
    <w:p w:rsidR="00972DB7" w:rsidRPr="002E6AA2" w:rsidRDefault="00972DB7" w:rsidP="00972DB7">
      <w:r>
        <w:t>*Most Hispanic patients are identified as white</w:t>
      </w:r>
    </w:p>
    <w:p w:rsidR="00972DB7" w:rsidRPr="002E6AA2" w:rsidRDefault="00972DB7" w:rsidP="00972DB7"/>
    <w:p w:rsidR="00972DB7" w:rsidRDefault="00972DB7" w:rsidP="00972DB7"/>
    <w:p w:rsidR="00972DB7" w:rsidRDefault="00972DB7" w:rsidP="00972DB7">
      <w:r>
        <w:br w:type="page"/>
      </w:r>
    </w:p>
    <w:p w:rsidR="00972DB7" w:rsidRPr="002A2D34" w:rsidRDefault="00972DB7" w:rsidP="00972DB7">
      <w:pPr>
        <w:rPr>
          <w:b/>
          <w:color w:val="000000"/>
        </w:rPr>
      </w:pPr>
      <w:proofErr w:type="gramStart"/>
      <w:r>
        <w:rPr>
          <w:b/>
        </w:rPr>
        <w:lastRenderedPageBreak/>
        <w:t xml:space="preserve">Supplementary </w:t>
      </w:r>
      <w:r w:rsidRPr="001A39CA">
        <w:rPr>
          <w:b/>
        </w:rPr>
        <w:t>Table 3.</w:t>
      </w:r>
      <w:proofErr w:type="gramEnd"/>
      <w:r>
        <w:t xml:space="preserve"> </w:t>
      </w:r>
      <w:r w:rsidRPr="001A39CA">
        <w:rPr>
          <w:b/>
        </w:rPr>
        <w:t xml:space="preserve">Predictors of Complete Evaluation on </w:t>
      </w:r>
      <w:proofErr w:type="spellStart"/>
      <w:r w:rsidRPr="001A39CA">
        <w:rPr>
          <w:b/>
        </w:rPr>
        <w:t>Univaria</w:t>
      </w:r>
      <w:r>
        <w:rPr>
          <w:b/>
        </w:rPr>
        <w:t>bl</w:t>
      </w:r>
      <w:r w:rsidRPr="001A39CA">
        <w:rPr>
          <w:b/>
        </w:rPr>
        <w:t>e</w:t>
      </w:r>
      <w:proofErr w:type="spellEnd"/>
      <w:r w:rsidRPr="001A39CA">
        <w:rPr>
          <w:b/>
        </w:rPr>
        <w:t xml:space="preserve"> and Multivaria</w:t>
      </w:r>
      <w:r>
        <w:rPr>
          <w:b/>
        </w:rPr>
        <w:t>bl</w:t>
      </w:r>
      <w:r w:rsidRPr="001A39CA">
        <w:rPr>
          <w:b/>
        </w:rPr>
        <w:t xml:space="preserve">e Regression </w:t>
      </w:r>
      <w:r w:rsidRPr="002A2D34">
        <w:rPr>
          <w:b/>
          <w:color w:val="000000"/>
        </w:rPr>
        <w:t>Analyses Including Patients Initially Presenting with Urinary Tract Infections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710"/>
        <w:gridCol w:w="1890"/>
        <w:gridCol w:w="1215"/>
        <w:gridCol w:w="1935"/>
        <w:gridCol w:w="1440"/>
      </w:tblGrid>
      <w:tr w:rsidR="00972DB7" w:rsidRPr="002A2D34" w:rsidTr="00D11E44">
        <w:tc>
          <w:tcPr>
            <w:tcW w:w="3055" w:type="dxa"/>
            <w:gridSpan w:val="2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UVA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OR (95% CI)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UVA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p-value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MVA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OR (95% CI)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MVA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  <w:color w:val="000000"/>
              </w:rPr>
            </w:pPr>
            <w:r w:rsidRPr="002A2D34">
              <w:rPr>
                <w:b/>
                <w:color w:val="000000"/>
              </w:rPr>
              <w:t>p-value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Gender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Female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0.44 (0.38-0.50)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0.51 (0.43-0.59)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Age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&lt;35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35-50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50-65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65-80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&gt;80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1.61 (1.21-2.14)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2.59 (1.98-3.39)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2.95 (2.20-3.96)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3.24 (2.11-4.98)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 xml:space="preserve">  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1.57 (1.18-2.10)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2.34 (1.76-3.11)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2.75 (2.00-3.78)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2.85 (1.81-4.48)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 xml:space="preserve">  0.002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Race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White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Black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Hispanic*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Asian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Indian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Pacific Islander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Unknown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0.73 (0.62-0.86)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1.78 (0.23-14.04)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1.41 (1.03-1.93)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0.00 (0.00-.)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2.06 (0.73-5.86)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0.72 (0.38-1.37)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0.586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t xml:space="preserve">  </w:t>
            </w:r>
            <w:r w:rsidRPr="002A2D34">
              <w:rPr>
                <w:b/>
              </w:rPr>
              <w:t>0.030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0.998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0.175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0.320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0.64 (0.54-0.76)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1.75 (0.21-14.43)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1.40 (1.02-1.94)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0.00 (0.00-.)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1.85 (0.63-5.50)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0.71 (0.37-1.36)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0.604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 xml:space="preserve">  0.040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0.998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0.266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0.302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UA RBC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3-19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20-49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50-99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&gt;99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2.49 (1.97-3.15)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1.72 (1.25-2.36)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2.41 (1.87-3.10)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 xml:space="preserve">  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2.54 (2.00-3.24)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1.98 (1.43-2.76)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2.97 (2.28-3.88)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>&lt;0.001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DM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1.02 (0.87-1.19)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0.835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HTN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1.41 (1.22-1.62)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0.99 (0.84-1.16)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0.870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Obesity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1.27 (0.97-1.66)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0.085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-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Tobacco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Never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Former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Current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1.50 (1.26-1.78)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1.28 (1.05-1.56)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rPr>
                <w:b/>
              </w:rPr>
              <w:t xml:space="preserve">  0.015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1.10 (0.91-1.32)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>1.17 (0.95-1.45)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Ref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0.322</w:t>
            </w:r>
          </w:p>
          <w:p w:rsidR="00972DB7" w:rsidRPr="002A2D34" w:rsidRDefault="00972DB7" w:rsidP="00D11E44">
            <w:pPr>
              <w:spacing w:after="0" w:line="240" w:lineRule="auto"/>
            </w:pPr>
            <w:r w:rsidRPr="002A2D34">
              <w:t xml:space="preserve">  0.142</w:t>
            </w:r>
          </w:p>
        </w:tc>
      </w:tr>
      <w:tr w:rsidR="00972DB7" w:rsidRPr="002A2D34" w:rsidTr="00D11E44">
        <w:tc>
          <w:tcPr>
            <w:tcW w:w="134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Repeat UA</w:t>
            </w:r>
          </w:p>
        </w:tc>
        <w:tc>
          <w:tcPr>
            <w:tcW w:w="171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Yes</w:t>
            </w:r>
          </w:p>
        </w:tc>
        <w:tc>
          <w:tcPr>
            <w:tcW w:w="189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4.37 (3.61-5.28)</w:t>
            </w:r>
          </w:p>
        </w:tc>
        <w:tc>
          <w:tcPr>
            <w:tcW w:w="121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  <w:tc>
          <w:tcPr>
            <w:tcW w:w="1935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</w:pPr>
            <w:r w:rsidRPr="002A2D34">
              <w:t>4.10 (3.38-4.97)</w:t>
            </w:r>
          </w:p>
        </w:tc>
        <w:tc>
          <w:tcPr>
            <w:tcW w:w="1440" w:type="dxa"/>
            <w:shd w:val="clear" w:color="auto" w:fill="auto"/>
          </w:tcPr>
          <w:p w:rsidR="00972DB7" w:rsidRPr="002A2D34" w:rsidRDefault="00972DB7" w:rsidP="00D11E44">
            <w:pPr>
              <w:spacing w:after="0" w:line="240" w:lineRule="auto"/>
              <w:rPr>
                <w:b/>
              </w:rPr>
            </w:pPr>
            <w:r w:rsidRPr="002A2D34">
              <w:rPr>
                <w:b/>
              </w:rPr>
              <w:t>&lt;0.001</w:t>
            </w:r>
          </w:p>
        </w:tc>
      </w:tr>
    </w:tbl>
    <w:p w:rsidR="00972DB7" w:rsidRPr="002E6AA2" w:rsidRDefault="00972DB7" w:rsidP="00972DB7">
      <w:r>
        <w:t xml:space="preserve">UVA: </w:t>
      </w:r>
      <w:proofErr w:type="spellStart"/>
      <w:r>
        <w:t>univariable</w:t>
      </w:r>
      <w:proofErr w:type="spellEnd"/>
      <w:r>
        <w:t xml:space="preserve"> analysis; MVA: multivariable analysis; OR: odds ratio; </w:t>
      </w:r>
      <w:r w:rsidRPr="002E6AA2">
        <w:t>UA: urinalysis; RBC: red blood cells; DM: diabetes mellitus; HTN: hypertension; UTI: urinary tract infection</w:t>
      </w:r>
    </w:p>
    <w:p w:rsidR="00972DB7" w:rsidRPr="002E6AA2" w:rsidRDefault="00972DB7" w:rsidP="00972DB7">
      <w:r>
        <w:t>*Most Hispanic patients are identified as white</w:t>
      </w:r>
    </w:p>
    <w:p w:rsidR="00972DB7" w:rsidRDefault="00972DB7" w:rsidP="00972DB7"/>
    <w:p w:rsidR="00972DB7" w:rsidRDefault="00972DB7" w:rsidP="00972DB7"/>
    <w:p w:rsidR="00972DB7" w:rsidRDefault="00972DB7" w:rsidP="00972DB7">
      <w:pPr>
        <w:jc w:val="both"/>
      </w:pPr>
    </w:p>
    <w:p w:rsidR="00BE2449" w:rsidRDefault="00BE2449"/>
    <w:sectPr w:rsidR="00BE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B7"/>
    <w:rsid w:val="00972DB7"/>
    <w:rsid w:val="00B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2019-06-29T10:07:00Z</dcterms:created>
  <dcterms:modified xsi:type="dcterms:W3CDTF">2019-06-29T10:08:00Z</dcterms:modified>
</cp:coreProperties>
</file>